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版本号：TCZFCG-2025-0067620251014002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学生公寓及浴室楼空调设备采购项目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TCZFCG-2025-00676</w:t>
      </w:r>
      <w:r>
        <w:br/>
      </w:r>
      <w:r>
        <w:br/>
      </w:r>
      <w:r>
        <w:br/>
      </w:r>
    </w:p>
    <w:p>
      <w:pPr>
        <w:pStyle w:val="null3"/>
        <w:jc w:val="center"/>
        <w:outlineLvl w:val="2"/>
      </w:pPr>
      <w:r>
        <w:rPr>
          <w:rFonts w:ascii="仿宋_GB2312" w:hAnsi="仿宋_GB2312" w:cs="仿宋_GB2312" w:eastAsia="仿宋_GB2312"/>
          <w:sz w:val="28"/>
          <w:b/>
        </w:rPr>
        <w:t>铜川职业技术学院</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铜川职业技术学院</w:t>
      </w:r>
      <w:r>
        <w:rPr>
          <w:rFonts w:ascii="仿宋_GB2312" w:hAnsi="仿宋_GB2312" w:cs="仿宋_GB2312" w:eastAsia="仿宋_GB2312"/>
        </w:rPr>
        <w:t>委托，拟对</w:t>
      </w:r>
      <w:r>
        <w:rPr>
          <w:rFonts w:ascii="仿宋_GB2312" w:hAnsi="仿宋_GB2312" w:cs="仿宋_GB2312" w:eastAsia="仿宋_GB2312"/>
        </w:rPr>
        <w:t>学生公寓及浴室楼空调设备采购项目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TCZFCG-2025-00676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学生公寓及浴室楼空调设备采购项目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改善学生住宿条件，我院决定建设学生公寓及浴室楼空调设备及安装项目。该项目实施范围为1-4号公寓楼，浴室楼3、4层。空调数量为1094台，规格为大1.5P品牌一级能耗分体壁挂式冷暖空气调节器，含安装及所需材料等所有费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铜川新区朝阳路8号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陈帮贵</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13909190979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陕西省铜川市耀州区铜川市新区齐庆路中段人社大厦305室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采购包1：2,643,046.66元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空调</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空调</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铜川职业技术学院</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（一）到货基础验收标准 在设备到货环节，验收小组需先核对以下内容，确认无误后签字接收： 1、空调外包装：无破损、无挤压变形，包装标识清晰完整； 2、设备信息：品牌、型号与合同约定一致，数量准确，出厂日期距验收时不超过 6 个月； 3、随附文件：需齐全且有效，包括但不限于产品合格证、使用说明书、保修卡、国家认可的质检报告。</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铜川职业技术学院</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联系人：阎女士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地址：陕西省铜川市耀州区铜川市新区齐庆路中段人社大厦305室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改善学生住宿条件，我院决定建设学生公寓及浴室楼空调设备及安装项目。该项目实施范围为1-4号公寓楼，浴室楼3、4层。空调数量为1094台，规格为大1.5P品牌一级能耗分体壁挂式冷暖空气调节器，含安装及所需材料等所有费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2,643,046.66</w:t>
      </w:r>
    </w:p>
    <w:p>
      <w:pPr>
        <w:pStyle w:val="null3"/>
      </w:pPr>
      <w:r>
        <w:rPr>
          <w:rFonts w:ascii="仿宋_GB2312" w:hAnsi="仿宋_GB2312" w:cs="仿宋_GB2312" w:eastAsia="仿宋_GB2312"/>
        </w:rPr>
        <w:t>采购包最高限价（元）: 2,643,046.66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铜川职业技术学院学生公寓及浴室楼空调设备采购项目</w:t>
            </w:r>
          </w:p>
        </w:tc>
        <w:tc>
          <w:tcPr>
            <w:tcW w:type="dxa" w:w="831"/>
          </w:tcPr>
          <w:p>
            <w:pPr>
              <w:pStyle w:val="null3"/>
              <w:jc w:val="right"/>
            </w:pPr>
            <w:r>
              <w:rPr>
                <w:rFonts w:ascii="仿宋_GB2312" w:hAnsi="仿宋_GB2312" w:cs="仿宋_GB2312" w:eastAsia="仿宋_GB2312"/>
              </w:rPr>
              <w:t>1,094.00</w:t>
            </w:r>
          </w:p>
        </w:tc>
        <w:tc>
          <w:tcPr>
            <w:tcW w:type="dxa" w:w="831"/>
          </w:tcPr>
          <w:p>
            <w:pPr>
              <w:pStyle w:val="null3"/>
              <w:jc w:val="right"/>
            </w:pPr>
            <w:r>
              <w:rPr>
                <w:rFonts w:ascii="仿宋_GB2312" w:hAnsi="仿宋_GB2312" w:cs="仿宋_GB2312" w:eastAsia="仿宋_GB2312"/>
              </w:rPr>
              <w:t>2,643,046.66</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标的名称：铜川职业技术学院学生公寓及浴室楼空调设备采购项目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★1、空调类型：壁挂式冷暖变频空调</w:t>
            </w:r>
          </w:p>
          <w:p>
            <w:pPr>
              <w:pStyle w:val="null3"/>
            </w:pPr>
            <w:r>
              <w:rPr>
                <w:rFonts w:ascii="仿宋_GB2312" w:hAnsi="仿宋_GB2312" w:cs="仿宋_GB2312" w:eastAsia="仿宋_GB2312"/>
              </w:rPr>
              <w:t>★2、产品功率：大1.5P</w:t>
            </w:r>
          </w:p>
          <w:p>
            <w:pPr>
              <w:pStyle w:val="null3"/>
            </w:pPr>
            <w:r>
              <w:rPr>
                <w:rFonts w:ascii="仿宋_GB2312" w:hAnsi="仿宋_GB2312" w:cs="仿宋_GB2312" w:eastAsia="仿宋_GB2312"/>
              </w:rPr>
              <w:t>★3、具有制热、制冷功能（具有热泵电辅热功能）；</w:t>
            </w:r>
          </w:p>
          <w:p>
            <w:pPr>
              <w:pStyle w:val="null3"/>
            </w:pPr>
            <w:r>
              <w:rPr>
                <w:rFonts w:ascii="仿宋_GB2312" w:hAnsi="仿宋_GB2312" w:cs="仿宋_GB2312" w:eastAsia="仿宋_GB2312"/>
              </w:rPr>
              <w:t>▲4、制冷量≥3500W、</w:t>
            </w:r>
          </w:p>
          <w:p>
            <w:pPr>
              <w:pStyle w:val="null3"/>
            </w:pPr>
            <w:r>
              <w:rPr>
                <w:rFonts w:ascii="仿宋_GB2312" w:hAnsi="仿宋_GB2312" w:cs="仿宋_GB2312" w:eastAsia="仿宋_GB2312"/>
              </w:rPr>
              <w:t>▲5、制热量≥5000W;</w:t>
            </w:r>
            <w:r>
              <w:br/>
            </w:r>
            <w:r>
              <w:rPr>
                <w:rFonts w:ascii="仿宋_GB2312" w:hAnsi="仿宋_GB2312" w:cs="仿宋_GB2312" w:eastAsia="仿宋_GB2312"/>
              </w:rPr>
              <w:t xml:space="preserve"> ★6、环保、节能产品，能效等级:一级能效,能效比:≥5.27；</w:t>
            </w:r>
            <w:r>
              <w:br/>
            </w:r>
            <w:r>
              <w:rPr>
                <w:rFonts w:ascii="仿宋_GB2312" w:hAnsi="仿宋_GB2312" w:cs="仿宋_GB2312" w:eastAsia="仿宋_GB2312"/>
              </w:rPr>
              <w:t xml:space="preserve"> ▲7、循环风量≥750m3/h；</w:t>
            </w:r>
            <w:r>
              <w:br/>
            </w:r>
            <w:r>
              <w:rPr>
                <w:rFonts w:ascii="仿宋_GB2312" w:hAnsi="仿宋_GB2312" w:cs="仿宋_GB2312" w:eastAsia="仿宋_GB2312"/>
              </w:rPr>
              <w:t xml:space="preserve"> ▲8、内机噪音≤18dB(A)；</w:t>
            </w:r>
          </w:p>
          <w:p>
            <w:pPr>
              <w:pStyle w:val="null3"/>
            </w:pPr>
            <w:r>
              <w:rPr>
                <w:rFonts w:ascii="仿宋_GB2312" w:hAnsi="仿宋_GB2312" w:cs="仿宋_GB2312" w:eastAsia="仿宋_GB2312"/>
              </w:rPr>
              <w:t>▲9、外机噪音：≦51dB（A）；</w:t>
            </w:r>
            <w:r>
              <w:br/>
            </w:r>
            <w:r>
              <w:rPr>
                <w:rFonts w:ascii="仿宋_GB2312" w:hAnsi="仿宋_GB2312" w:cs="仿宋_GB2312" w:eastAsia="仿宋_GB2312"/>
              </w:rPr>
              <w:t xml:space="preserve"> ▲10、额定制冷功率≥800W、变频；</w:t>
            </w:r>
          </w:p>
          <w:p>
            <w:pPr>
              <w:pStyle w:val="null3"/>
            </w:pPr>
            <w:r>
              <w:rPr>
                <w:rFonts w:ascii="仿宋_GB2312" w:hAnsi="仿宋_GB2312" w:cs="仿宋_GB2312" w:eastAsia="仿宋_GB2312"/>
              </w:rPr>
              <w:t>▲11、额定制热功率≥1230W、变频；</w:t>
            </w:r>
            <w:r>
              <w:br/>
            </w:r>
            <w:r>
              <w:rPr>
                <w:rFonts w:ascii="仿宋_GB2312" w:hAnsi="仿宋_GB2312" w:cs="仿宋_GB2312" w:eastAsia="仿宋_GB2312"/>
              </w:rPr>
              <w:t xml:space="preserve"> ★12、额定电压220V；制冷剂：R32；</w:t>
            </w:r>
          </w:p>
          <w:p>
            <w:pPr>
              <w:pStyle w:val="null3"/>
            </w:pPr>
            <w:r>
              <w:rPr>
                <w:rFonts w:ascii="仿宋_GB2312" w:hAnsi="仿宋_GB2312" w:cs="仿宋_GB2312" w:eastAsia="仿宋_GB2312"/>
              </w:rPr>
              <w:t>▲13、功能:自清洁、静音设计、独立除湿；</w:t>
            </w:r>
          </w:p>
          <w:p>
            <w:pPr>
              <w:pStyle w:val="null3"/>
            </w:pPr>
            <w:r>
              <w:rPr>
                <w:rFonts w:ascii="仿宋_GB2312" w:hAnsi="仿宋_GB2312" w:cs="仿宋_GB2312" w:eastAsia="仿宋_GB2312"/>
              </w:rPr>
              <w:t>★14、连接管、铜管采用国标铜管φ9.52*0.8/φ6.35*0.8双根铜管；</w:t>
            </w:r>
          </w:p>
          <w:p>
            <w:pPr>
              <w:pStyle w:val="null3"/>
            </w:pPr>
            <w:r>
              <w:rPr>
                <w:rFonts w:ascii="仿宋_GB2312" w:hAnsi="仿宋_GB2312" w:cs="仿宋_GB2312" w:eastAsia="仿宋_GB2312"/>
              </w:rPr>
              <w:t>★15、整机质保期6年，从安装验收合格之日起算；</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第一阶段：空调设备安装完成并验收合格，2026年年初付中标价的40%</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第二阶段：2027年年初付中标价的30%</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第三阶段：2028年年初支付剩余金额（剩余金额等于财政决算价与第一、第二阶段已付款的差额）</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（一）验收依据 1、招标文件、投标文件、澄清表（函）；2、国家相应的标准、规范。 （二）验收方法：1、所供货物外包装完整，无磕碰、液体浸泡等。2、货物符合招投标文件技术参数，性能等满足要求。3、货物具备产品合格证书和环保、节能相关证书。4、安装符合国家及设计要求。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中标人的产品质量应当符合国家行业规定的标准，并无任何瑕疵；中标人应按配置清单要求提供原装产品，除人为因素损坏外，对该产品实行三包（即包修、包退、包换），免费提供所有设备正常使用所需的备品备件，且中标人维修所更换的配件和备品备件均为原设备厂家生产。 （二）如交付品种、型号、规格不符合同约定的，由中标人负责退换，由此产生的一切费用及给采购人造成的相关损失由中标人全部承担并赔偿相应损失。 （三）如不能修理或者不能调换的，按不能交货处理，因此给采购人造成的所有经济损失中标人应予全额赔偿。 （四）保修期内由中标人免费质保，采购人报修后三日内投标人必须响应，否则将依据有关法律、法规进行追偿。 （五）中标人提供产品应无任何瑕疵，符合国内及行业相关标准。如在使用过程中本产品存在隐蔽瑕疵造成事故而引发的纠纷，由中标人全额负责赔偿，并免费为采购人修复瑕疵或更新换代，期间产生的费用均由中标人承担。 （六）产品验收合格之日起 15 日（包含15 日）内，若产品出现非人为损坏的性能故障，可以选择更换同型号同规格的产品，或者选择免费修理。自产品验收合格之日起 24 个月内主机硬件出现非人为性能故障，享受专家上门服务。 （七）保修期：自项目验收合格后之日起6 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二）未按合同要求提供服务或服务质量不能满足合同要求，采购人有权依据《中华人民共和国民法典》有关条款及合同约定终止合同，并要求中标人承担违约责任。（三）中标人未按合同约定的交货日期交货的，每逾期一日，向采购人支付逾期交付货物价款的 1%的违约金，但不超过合同总金额的10%。中标人支付逾期交货违约金并不免除其交货的责任。如中标人在政府采购合同规定的交货日期后10 天内仍未能交货，则视为中标人不能交货，采购人有权解除政府采购合同，中标人除退还已收取的货款外，还应向采购人偿付政府采购合同总金额10%的违约金，并承担由此给采购人造成的一切损失。（四）如在履行过程中发生的争议，由双方当事人协商解决，协商不成时，提交铜川仲裁委员会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请提供投标文件目录索引并与文件内容相对应。</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1、提供有效存续的企业营业执照（副本）等证书； 2、提供递交投标文件截止之日前一年内任意一个月的社会保障资金缴存单据或社保机构开具的社会保险参保缴费情况证明。依法不需要缴纳社会保障资金的投标人应提供相关证明文件； 3、提供递交投标文件截止之日前一年内任意一个月的依法缴纳税收的完税证明，完税证明应有税务机关或代收机关的公章或业务专用章。依法免税或无须缴纳税收的投标人，应提供相应证明文件； 4、提供《供应商信用记录书面声明函》。经查，投标人未被列入“信用中国”网站记录的“失信被执行人”或“重大税收违法案件当事人”名单；不处于“中国政府采购网”记录的“政府采购严重违法失信行为记录名单”中的禁止参加政府采购活动期间； 5、提供书面声明，包括声明具有履行合同所必需的设备和专业技术能力；未为本项目提供整体设计、规范编制或者项目管理、监理、检测等服务； 6、投标人应提供《非联合体不分包投标声明》，视为独立投标，不分包。</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（以下三种资料提供任意一种即可）： （1）提供递交投标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 （2）其开标前三个月内基本开户银行出具的资信证明； （3）信用担保机构出具的投标担保函。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《政府采购促进中小企业发展管理办法》（财库〔2020〕46号） 中小企业声明函 供应商应提交的相关资格证明材料</w:t>
            </w:r>
          </w:p>
        </w:tc>
        <w:tc>
          <w:tcPr>
            <w:tcW w:type="dxa" w:w="1661"/>
          </w:tcPr>
          <w:p>
            <w:pPr>
              <w:pStyle w:val="null3"/>
            </w:pPr>
            <w:r>
              <w:rPr>
                <w:rFonts w:ascii="仿宋_GB2312" w:hAnsi="仿宋_GB2312" w:cs="仿宋_GB2312" w:eastAsia="仿宋_GB2312"/>
              </w:rPr>
              <w:t>投标函 中小企业声明函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残疾人福利性单位声明函</w:t>
            </w:r>
          </w:p>
        </w:tc>
        <w:tc>
          <w:tcPr>
            <w:tcW w:type="dxa" w:w="3322"/>
          </w:tcPr>
          <w:p>
            <w:pPr>
              <w:pStyle w:val="null3"/>
            </w:pPr>
            <w:r>
              <w:rPr>
                <w:rFonts w:ascii="仿宋_GB2312" w:hAnsi="仿宋_GB2312" w:cs="仿宋_GB2312" w:eastAsia="仿宋_GB2312"/>
              </w:rPr>
              <w:t>《关于促进残疾人就业政府采购政策的通知》（财库〔2017〕141号） 残疾人福利性单位声明函 供应商应提交的相关资格证明材料</w:t>
            </w:r>
          </w:p>
        </w:tc>
        <w:tc>
          <w:tcPr>
            <w:tcW w:type="dxa" w:w="1661"/>
          </w:tcPr>
          <w:p>
            <w:pPr>
              <w:pStyle w:val="null3"/>
            </w:pPr>
            <w:r>
              <w:rPr>
                <w:rFonts w:ascii="仿宋_GB2312" w:hAnsi="仿宋_GB2312" w:cs="仿宋_GB2312" w:eastAsia="仿宋_GB2312"/>
              </w:rPr>
              <w:t>投标函 残疾人福利性单位声明函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监狱企业的证明文件</w:t>
            </w:r>
          </w:p>
        </w:tc>
        <w:tc>
          <w:tcPr>
            <w:tcW w:type="dxa" w:w="3322"/>
          </w:tcPr>
          <w:p>
            <w:pPr>
              <w:pStyle w:val="null3"/>
            </w:pPr>
            <w:r>
              <w:rPr>
                <w:rFonts w:ascii="仿宋_GB2312" w:hAnsi="仿宋_GB2312" w:cs="仿宋_GB2312" w:eastAsia="仿宋_GB2312"/>
              </w:rPr>
              <w:t>《关于政府采购支持监狱企业发展有关问题的通知》（财库〔2014〕68号） 供应商应提交的相关资格证明材料 监狱企业的证明文件</w:t>
            </w:r>
          </w:p>
        </w:tc>
        <w:tc>
          <w:tcPr>
            <w:tcW w:type="dxa" w:w="1661"/>
          </w:tcPr>
          <w:p>
            <w:pPr>
              <w:pStyle w:val="null3"/>
            </w:pPr>
            <w:r>
              <w:rPr>
                <w:rFonts w:ascii="仿宋_GB2312" w:hAnsi="仿宋_GB2312" w:cs="仿宋_GB2312" w:eastAsia="仿宋_GB2312"/>
              </w:rPr>
              <w:t>投标函 投标人应提交的相关资格证明材料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投标文件内容及有效期</w:t>
            </w:r>
          </w:p>
        </w:tc>
        <w:tc>
          <w:tcPr>
            <w:tcW w:type="dxa" w:w="3322"/>
          </w:tcPr>
          <w:p>
            <w:pPr>
              <w:pStyle w:val="null3"/>
            </w:pPr>
            <w:r>
              <w:rPr>
                <w:rFonts w:ascii="仿宋_GB2312" w:hAnsi="仿宋_GB2312" w:cs="仿宋_GB2312" w:eastAsia="仿宋_GB2312"/>
              </w:rPr>
              <w:t>投标文件内容及有效期符合招标文件要求。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投标文件封面、投标函、项目单位、项目名称、项目编号等信息</w:t>
            </w:r>
          </w:p>
        </w:tc>
        <w:tc>
          <w:tcPr>
            <w:tcW w:type="dxa" w:w="3322"/>
          </w:tcPr>
          <w:p>
            <w:pPr>
              <w:pStyle w:val="null3"/>
            </w:pPr>
            <w:r>
              <w:rPr>
                <w:rFonts w:ascii="仿宋_GB2312" w:hAnsi="仿宋_GB2312" w:cs="仿宋_GB2312" w:eastAsia="仿宋_GB2312"/>
              </w:rPr>
              <w:t>均无遗漏，且与所投项目单位、项目名称、项目编号等信息一致。</w:t>
            </w:r>
          </w:p>
        </w:tc>
        <w:tc>
          <w:tcPr>
            <w:tcW w:type="dxa" w:w="1661"/>
          </w:tcPr>
          <w:p>
            <w:pPr>
              <w:pStyle w:val="null3"/>
            </w:pPr>
            <w:r>
              <w:rPr>
                <w:rFonts w:ascii="仿宋_GB2312" w:hAnsi="仿宋_GB2312" w:cs="仿宋_GB2312" w:eastAsia="仿宋_GB2312"/>
              </w:rPr>
              <w:t>开标一览表 产品技术参数表 响应偏差表.docx 投标函 中小企业声明函 残疾人福利性单位声明函 商务应答表 标的清单 投标文件封面 投标人应提交的相关资格证明材料 监狱企业的证明文件 书面承诺函.docx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投标文件承诺、签署、盖章</w:t>
            </w:r>
          </w:p>
        </w:tc>
        <w:tc>
          <w:tcPr>
            <w:tcW w:type="dxa" w:w="3322"/>
          </w:tcPr>
          <w:p>
            <w:pPr>
              <w:pStyle w:val="null3"/>
            </w:pPr>
            <w:r>
              <w:rPr>
                <w:rFonts w:ascii="仿宋_GB2312" w:hAnsi="仿宋_GB2312" w:cs="仿宋_GB2312" w:eastAsia="仿宋_GB2312"/>
              </w:rPr>
              <w:t>均按招标文件要求承诺、签字、盖章（评分标准中要求提供的证明材料除外）</w:t>
            </w:r>
          </w:p>
        </w:tc>
        <w:tc>
          <w:tcPr>
            <w:tcW w:type="dxa" w:w="1661"/>
          </w:tcPr>
          <w:p>
            <w:pPr>
              <w:pStyle w:val="null3"/>
            </w:pPr>
            <w:r>
              <w:rPr>
                <w:rFonts w:ascii="仿宋_GB2312" w:hAnsi="仿宋_GB2312" w:cs="仿宋_GB2312" w:eastAsia="仿宋_GB2312"/>
              </w:rPr>
              <w:t>开标一览表 产品技术参数表 响应偏差表.docx 投标函 中小企业声明函 残疾人福利性单位声明函 商务应答表 标的清单 投标文件封面 投标人应提交的相关资格证明材料 监狱企业的证明文件 书面承诺函.docx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产品技术参数表 响应偏差表.docx 投标函 商务应答表 标的清单 投标文件封面 书面承诺函.docx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完全理解并满足采购标的的技术参数、服务等要求，根据投标人投标文件《技术服务偏差表》，结合招标文件第四章“★”标识的实质性要求没有负偏离。</w:t>
            </w:r>
          </w:p>
        </w:tc>
        <w:tc>
          <w:tcPr>
            <w:tcW w:type="dxa" w:w="1661"/>
          </w:tcPr>
          <w:p>
            <w:pPr>
              <w:pStyle w:val="null3"/>
            </w:pPr>
            <w:r>
              <w:rPr>
                <w:rFonts w:ascii="仿宋_GB2312" w:hAnsi="仿宋_GB2312" w:cs="仿宋_GB2312" w:eastAsia="仿宋_GB2312"/>
              </w:rPr>
              <w:t>开标一览表 产品技术参数表 响应偏差表.docx 投标函 中小企业声明函 残疾人福利性单位声明函 商务应答表 标的清单 投标文件封面 投标人应提交的相关资格证明材料 监狱企业的证明文件 书面承诺函.docx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 xml:space="preserve"> 完全理解并接受招标文件合同条款要求的描述。</w:t>
            </w:r>
          </w:p>
        </w:tc>
        <w:tc>
          <w:tcPr>
            <w:tcW w:type="dxa" w:w="1661"/>
          </w:tcPr>
          <w:p>
            <w:pPr>
              <w:pStyle w:val="null3"/>
            </w:pPr>
            <w:r>
              <w:rPr>
                <w:rFonts w:ascii="仿宋_GB2312" w:hAnsi="仿宋_GB2312" w:cs="仿宋_GB2312" w:eastAsia="仿宋_GB2312"/>
              </w:rPr>
              <w:t>开标一览表 产品技术参数表 响应偏差表.docx 投标函 中小企业声明函 残疾人福利性单位声明函 商务应答表 标的清单 投标文件封面 投标人应提交的相关资格证明材料 监狱企业的证明文件 书面承诺函.docx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招标文件或法规明确规定响应无效的事项</w:t>
            </w:r>
          </w:p>
        </w:tc>
        <w:tc>
          <w:tcPr>
            <w:tcW w:type="dxa" w:w="3322"/>
          </w:tcPr>
          <w:p>
            <w:pPr>
              <w:pStyle w:val="null3"/>
            </w:pPr>
            <w:r>
              <w:rPr>
                <w:rFonts w:ascii="仿宋_GB2312" w:hAnsi="仿宋_GB2312" w:cs="仿宋_GB2312" w:eastAsia="仿宋_GB2312"/>
              </w:rPr>
              <w:t xml:space="preserve"> 没有不符合招标文件规定的被视为无效响应的其他条款。</w:t>
            </w:r>
          </w:p>
        </w:tc>
        <w:tc>
          <w:tcPr>
            <w:tcW w:type="dxa" w:w="1661"/>
          </w:tcPr>
          <w:p>
            <w:pPr>
              <w:pStyle w:val="null3"/>
            </w:pPr>
            <w:r>
              <w:rPr>
                <w:rFonts w:ascii="仿宋_GB2312" w:hAnsi="仿宋_GB2312" w:cs="仿宋_GB2312" w:eastAsia="仿宋_GB2312"/>
              </w:rPr>
              <w:t>开标一览表 产品技术参数表 响应偏差表.docx 投标函 中小企业声明函 残疾人福利性单位声明函 商务应答表 标的清单 投标文件封面 投标人应提交的相关资格证明材料 监狱企业的证明文件 书面承诺函.docx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响应偏差表.docx 投标函 中小企业声明函 残疾人福利性单位声明函 商务应答表 标的清单 投标文件封面 投标人应提交的相关资格证明材料 监狱企业的证明文件 书面承诺函.docx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详细评审52.00分</w:t>
            </w:r>
          </w:p>
          <w:p>
            <w:pPr>
              <w:pStyle w:val="null3"/>
            </w:pPr>
            <w:r>
              <w:rPr>
                <w:rFonts w:ascii="仿宋_GB2312" w:hAnsi="仿宋_GB2312" w:cs="仿宋_GB2312" w:eastAsia="仿宋_GB2312"/>
              </w:rPr>
              <w:t>报价得分48.00分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所投产品技术参数完全满足招标文件要求，没有负偏离计16分。 其中1、技术参数中标“★”项（共7项）为实质性要求，不满足按无效文件处理； 2、技术参数中标“▲”项（共8项）每负偏离一项扣2分；扣完为止。注：1.标“★”项参数须提供佐证材料（ 包括但不限于技术白皮书或第三方检测报告等），否则按无效文件处理；2.技术参数中标“▲”项技术参数须提供佐证材料（包括不限于产品彩页、第三方检测报告、官网功能截图等）；未提供或所提供材料模糊不清、所提供材料无法有效证明的将视为不满足要求，按负偏离进行扣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响应偏差表.docx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针对本项目提供完整详细的项目实施方案。 内容包含：①项目总实施计划②供货组织安排③安装、调试及验收方案④物力调配及保障措施。 二、评审标准 1、完整性：方案全面，从签订合同到项目验收等各环节都有详细描述； 2、可实施性：切合本项目实际情况，实施步骤清晰、合理； 3、针对性：方案能够紧扣项目实际情况，科学合理。 三、赋分依据（满分 12 分） ①项目总实施计划：每完全满足一个评审标准得1 分，满分3分； ②供货组织安排：每完全满足一个评审标准得1分，满分3分； ③安装、调试及验收方案：每完全满足一个评审标准得1 分，满分 3 分； ④物力调配及保障措施：每完全满足一个评审标准得1分，满分3分。"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书面承诺函.docx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投标人认为需要提交的其他资料.docx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一、评审内容根据项目实际需求，提供质量保证方案。 内容包含：①质量保证措施②定期巡检方案： 二、评审标准 1、完整性：方案须全面详细；2、可实施性：切合本项目实际情况便于实施。 三、赋分依据（满分6分） ①质量保证措施：对质保范围、质量标准、质保期限、备品备件、责任界定等每项指标完全满足一个评审标准得0.5 分，满分5分；②定期巡检方案：质保期内每个寒暑假定期对设备进行检查维护，保证设备正常使用等每完全满足一个评审标准得0.5分，满分1分。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书面承诺函.docx</w:t>
            </w:r>
          </w:p>
          <w:p>
            <w:pPr>
              <w:pStyle w:val="null3"/>
            </w:pPr>
            <w:r>
              <w:rPr>
                <w:rFonts w:ascii="仿宋_GB2312" w:hAnsi="仿宋_GB2312" w:cs="仿宋_GB2312" w:eastAsia="仿宋_GB2312"/>
              </w:rPr>
              <w:t>投标人认为需要提交的其他资料.docx</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投标人所投产品为“环境标志产品政府采购品目清单”内的，应提供该产品由国家确定的认证机构出具的中国环境标志产品认证证书且处于有效期内得2分，未提供或超期不得分，满分2 分。备注：以加盖投标人公章的证明材料为计分依据。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投标人认为需要提交的其他资料.docx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书面承诺函.docx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针对本项目编制具体可行的安全文明施工措施。 内容包含：①施工现场环境保障措施②文明施工及安全防护措施③施工场地清洁与安全复原。 二、评审标准 1、完整性：方案必须全面，有详细描述； 2、落实性：切合项目具体情况，提出责任明确、要求具体的方案； 三、赋分依据（满分 3 分） ①施工现场环境保护措施：对施工现场安全及措施，每完全满足一个评审标准得0.5分，满分 1分； ②文明施工及安全防护措施：对施工作业要求、安全防护措施，每完全满足一个评审标准得0.5分，满分1分。 ③施工场地清洁与安全复原：对施工现场及时清理垃圾、现场复原，每完全满足一个评审标准得0.5分，满分1分。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投标人认为需要提交的其他资料.docx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书面承诺函.docx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 2022 年 1 月 1 日以来类似项目业绩（以合同签订日期为准），每份合格业绩计 1 分，满分2 分。备注：需提供完整合同及对应发票（任意一张）复印件，并加盖投标人公章。前述两种证明材料同时提供方可得分，否则不得分。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书面承诺函.docx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投标人认为需要提交的其他资料.docx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根据项目实际需求提供售后服务方案。内容包含：①售后服务范围及保障措施②响应时间、响应方式③故障处理及应急处理措施。 二、评审标准 1.完整性：方案须全面，对评审内容中的各项要求有详细描述； 2.可实施性：切合本项目实际情况，提出步骤清晰、合理的方案； 三、赋分依据（满分 6 分） ①售后服务范围及保障措施：每完全满足一个评审标准得1分，满分2分； ②响应时间、响应方式：每完全满足一个评审标准得1分，满分2 分； ③故障处理及应急处理措施：每完全满足一个评审标准得1分，满分2分。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书面承诺函.docx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投标人认为需要提交的其他资料.docx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针对项目的特点和需求等内容，质保期内定期提供具有实际使用价值（例如：清洗滤网等）的增值服务承诺，经评标委员会认定，每项服务根据服务内容和频次每项可加0.1—1分，满分3分。无承诺不得分。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书面承诺函.docx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投标人认为需要提交的其他资料.docx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质保期在满足招标文件（6年）要求的基础上，每增加一年得1分，满2分。无承诺不得分（承诺须明确具体年限）。</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投标人认为需要提交的其他资料.docx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书面承诺函.docx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有效投标人的最低报价（落实政府采购政策进行价格调整的，以调整后的价格计算）为基准价得 48 分，其他各投标人的报价得分按下列公式计算：（基准价/投标报价）×48％×100。</w:t>
            </w:r>
          </w:p>
        </w:tc>
        <w:tc>
          <w:tcPr>
            <w:tcW w:type="dxa" w:w="831"/>
          </w:tcPr>
          <w:p>
            <w:pPr>
              <w:pStyle w:val="null3"/>
              <w:jc w:val="right"/>
            </w:pPr>
            <w:r>
              <w:rPr>
                <w:rFonts w:ascii="仿宋_GB2312" w:hAnsi="仿宋_GB2312" w:cs="仿宋_GB2312" w:eastAsia="仿宋_GB2312"/>
              </w:rPr>
              <w:t>48.0000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详见附件：书面承诺函.docx</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详见附件：响应偏差表.docx</w:t>
      </w:r>
    </w:p>
    <w:p>
      <w:pPr>
        <w:pStyle w:val="null3"/>
        <w:ind w:firstLine="960"/>
      </w:pPr>
      <w:r>
        <w:rPr>
          <w:rFonts w:ascii="仿宋_GB2312" w:hAnsi="仿宋_GB2312" w:cs="仿宋_GB2312" w:eastAsia="仿宋_GB2312"/>
        </w:rPr>
        <w:t>详见附件：投标人认为需要提交的其他资料.docx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