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版本号：JZDCG-2025-03320250912001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购买重要安全类业务智能分析服务项目使用权限项目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JZDCG-2025-033</w:t>
      </w:r>
      <w:r>
        <w:br/>
      </w:r>
      <w:r>
        <w:br/>
      </w:r>
      <w:r>
        <w:br/>
      </w:r>
    </w:p>
    <w:p>
      <w:pPr>
        <w:pStyle w:val="null3"/>
        <w:jc w:val="center"/>
        <w:outlineLvl w:val="2"/>
      </w:pPr>
      <w:r>
        <w:rPr>
          <w:rFonts w:ascii="仿宋_GB2312" w:hAnsi="仿宋_GB2312" w:cs="仿宋_GB2312" w:eastAsia="仿宋_GB2312"/>
          <w:sz w:val="28"/>
          <w:b/>
        </w:rPr>
        <w:t>铜川市公安局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铜川市公安局</w:t>
      </w:r>
      <w:r>
        <w:rPr>
          <w:rFonts w:ascii="仿宋_GB2312" w:hAnsi="仿宋_GB2312" w:cs="仿宋_GB2312" w:eastAsia="仿宋_GB2312"/>
        </w:rPr>
        <w:t>委托，拟对</w:t>
      </w:r>
      <w:r>
        <w:rPr>
          <w:rFonts w:ascii="仿宋_GB2312" w:hAnsi="仿宋_GB2312" w:cs="仿宋_GB2312" w:eastAsia="仿宋_GB2312"/>
        </w:rPr>
        <w:t>购买重要安全类业务智能分析服务项目使用权限项目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JZDCG-2025-033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购买重要安全类业务智能分析服务项目使用权限项目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购买重要安全类业务智能分析服务项目使用权限项目，主要内容为智能分析服务平台搭建使用。旨在利用大数据技术、云计算、人工智能技术进行重要安全类风险线索发现与重点人员管控,实现风险的事前预警、事中及时处置事后快速打击以及对重点人员管控。与公安数据能力建设的预防、管控、打击体系形成双轮驱动，相互补充，提升公安机关涉安全风险线索的获取能力与重点人员的管控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采购包1（购买重要安全类业务智能分析服务项目使用权限项目）：属于专门面向中小企业采购。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3、税收缴纳证明：自2025年04月01日以来已缴存的至少一个月的纳税证明或完税证明，纳税证明或完税证明上应有代收机构或税务机关的公章或业务专用章。依法免税的投标人应提供相关文件证明；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w:t>
      </w:r>
    </w:p>
    <w:p>
      <w:pPr>
        <w:pStyle w:val="null3"/>
      </w:pPr>
      <w:r>
        <w:rPr>
          <w:rFonts w:ascii="仿宋_GB2312" w:hAnsi="仿宋_GB2312" w:cs="仿宋_GB2312" w:eastAsia="仿宋_GB2312"/>
        </w:rPr>
        <w:t>5、法定代表人授权委托书：须提供法定代表人授权书(附法定代表人、被授权人身份证复印件)及被授权人身份证原件；法定代表人直接参加磋商的，须提供法定代表人身份证明文件；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19909190189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代理服务费收费标准：成交供应商须向招标代理机构按如下标准和规定支付招标代理费： 1、招标代理服务费参照国家计委关于印发《招标代理服务收费管理暂行办法》的通知（计价格〔2002〕1980号）、《国家发展和改革委员会办公厅关于招标代理服务收费有关问题的通知》（发改办价格〔2003〕857号）文件计取；不足6000.00元的按照6000.00元计取； 2、代理服务费的交纳方式：由成交供应商向招标代理机构一次性支付。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购买重要安全类业务智能分析服务项目使用权限项目，主要内容为智能分析服务平台搭建使用。旨在利用大数据技术、云计算、人工智能技术进行重要安全类风险线索发现与重点人员管控,实现风险的事前预警、事中及时处置事后快速打击以及对重点人员管控。与公安数据能力建设的预防、管控、打击体系形成双轮驱动，相互补充，提升公安机关涉安全风险线索的获取能力与重点人员的管控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一、前台应用</w:t>
            </w:r>
          </w:p>
          <w:p>
            <w:pPr>
              <w:pStyle w:val="null3"/>
            </w:pPr>
            <w:r>
              <w:rPr>
                <w:rFonts w:ascii="仿宋_GB2312" w:hAnsi="仿宋_GB2312" w:cs="仿宋_GB2312" w:eastAsia="仿宋_GB2312"/>
              </w:rPr>
              <w:t>1、基础管理</w:t>
            </w:r>
          </w:p>
          <w:p>
            <w:pPr>
              <w:pStyle w:val="null3"/>
            </w:pPr>
            <w:r>
              <w:rPr>
                <w:rFonts w:ascii="仿宋_GB2312" w:hAnsi="仿宋_GB2312" w:cs="仿宋_GB2312" w:eastAsia="仿宋_GB2312"/>
              </w:rPr>
              <w:t>实现通过重要安全业务风险模型识别出的风险人员进行推送展示;实现以风险对象的视角，将某一特定风险对象的重要安全业务风险情况进行聚合分析，提供风险简易筛查功能进行展示;线索核查反馈，实现对预警列表及预警详情进行操作展示。</w:t>
            </w:r>
          </w:p>
          <w:p>
            <w:pPr>
              <w:pStyle w:val="null3"/>
            </w:pPr>
            <w:r>
              <w:rPr>
                <w:rFonts w:ascii="仿宋_GB2312" w:hAnsi="仿宋_GB2312" w:cs="仿宋_GB2312" w:eastAsia="仿宋_GB2312"/>
              </w:rPr>
              <w:t>2、风险管控</w:t>
            </w:r>
          </w:p>
          <w:p>
            <w:pPr>
              <w:pStyle w:val="null3"/>
            </w:pPr>
            <w:r>
              <w:rPr>
                <w:rFonts w:ascii="仿宋_GB2312" w:hAnsi="仿宋_GB2312" w:cs="仿宋_GB2312" w:eastAsia="仿宋_GB2312"/>
              </w:rPr>
              <w:t>提供风险的筛查工具，对关注的重要安全业务行为进行分析。便于日常通过风险人的类型进行风险管控。</w:t>
            </w:r>
          </w:p>
          <w:p>
            <w:pPr>
              <w:pStyle w:val="null3"/>
            </w:pPr>
            <w:r>
              <w:rPr>
                <w:rFonts w:ascii="仿宋_GB2312" w:hAnsi="仿宋_GB2312" w:cs="仿宋_GB2312" w:eastAsia="仿宋_GB2312"/>
              </w:rPr>
              <w:t>3、案件研判指向</w:t>
            </w:r>
          </w:p>
          <w:p>
            <w:pPr>
              <w:pStyle w:val="null3"/>
            </w:pPr>
            <w:r>
              <w:rPr>
                <w:rFonts w:ascii="仿宋_GB2312" w:hAnsi="仿宋_GB2312" w:cs="仿宋_GB2312" w:eastAsia="仿宋_GB2312"/>
              </w:rPr>
              <w:t>实现基于嫌疑人的虚拟账号溯源，从模糊信息锁定犯罪嫌疑人进行展示;虚拟身份溯源分析，实现基于嫌疑人的虚拟账号找到背后的使用人并进行展示;虚拟身份溯源反馈实现对风险对象进行风险核查反馈。</w:t>
            </w:r>
          </w:p>
          <w:p>
            <w:pPr>
              <w:pStyle w:val="null3"/>
            </w:pPr>
            <w:r>
              <w:rPr>
                <w:rFonts w:ascii="仿宋_GB2312" w:hAnsi="仿宋_GB2312" w:cs="仿宋_GB2312" w:eastAsia="仿宋_GB2312"/>
              </w:rPr>
              <w:t>4、阵地管控</w:t>
            </w:r>
          </w:p>
          <w:p>
            <w:pPr>
              <w:pStyle w:val="null3"/>
            </w:pPr>
            <w:r>
              <w:rPr>
                <w:rFonts w:ascii="仿宋_GB2312" w:hAnsi="仿宋_GB2312" w:cs="仿宋_GB2312" w:eastAsia="仿宋_GB2312"/>
              </w:rPr>
              <w:t>对掌握的重点阵地进行区域性设定，支撑阵地日常风险排摸的管控需求;阵地风险实现对风险对象进行异常流动风险管控、实现对风险对象进行异常聚集风险管控、实现对风险对象进行异常风险风险管控。</w:t>
            </w:r>
          </w:p>
          <w:p>
            <w:pPr>
              <w:pStyle w:val="null3"/>
            </w:pPr>
            <w:r>
              <w:rPr>
                <w:rFonts w:ascii="仿宋_GB2312" w:hAnsi="仿宋_GB2312" w:cs="仿宋_GB2312" w:eastAsia="仿宋_GB2312"/>
              </w:rPr>
              <w:t>5、线索研判</w:t>
            </w:r>
          </w:p>
          <w:p>
            <w:pPr>
              <w:pStyle w:val="null3"/>
            </w:pPr>
            <w:r>
              <w:rPr>
                <w:rFonts w:ascii="仿宋_GB2312" w:hAnsi="仿宋_GB2312" w:cs="仿宋_GB2312" w:eastAsia="仿宋_GB2312"/>
              </w:rPr>
              <w:t>通过关联关系等方式挖掘嫌疑人、关系网信息，提供列表检索、线索列表；基于嫌疑人的虚拟账号溯源，从模糊信息锁定犯罪嫌疑人。利用关注人员的行为规律，直接扩展重要安全业务关键人员的紧密关联人物以扩建其上下游关系网，深挖间接人员补充网络链不同环节间缺失的关键链路，查询所扩展关系的相关特征信息，从而梳理和还原产业链形成及发展的过程及关键事件。</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二、后台模型</w:t>
            </w:r>
          </w:p>
          <w:p>
            <w:pPr>
              <w:pStyle w:val="null3"/>
            </w:pPr>
            <w:r>
              <w:rPr>
                <w:rFonts w:ascii="仿宋_GB2312" w:hAnsi="仿宋_GB2312" w:cs="仿宋_GB2312" w:eastAsia="仿宋_GB2312"/>
              </w:rPr>
              <w:t>1、风险识别</w:t>
            </w:r>
          </w:p>
          <w:p>
            <w:pPr>
              <w:pStyle w:val="null3"/>
            </w:pPr>
            <w:r>
              <w:rPr>
                <w:rFonts w:ascii="仿宋_GB2312" w:hAnsi="仿宋_GB2312" w:cs="仿宋_GB2312" w:eastAsia="仿宋_GB2312"/>
              </w:rPr>
              <w:t>（1）基于关注人员特征，进行离线与实时的模式识别和特征比对，识别出重要安全类业务重点关注的特定对象；</w:t>
            </w:r>
          </w:p>
          <w:p>
            <w:pPr>
              <w:pStyle w:val="null3"/>
            </w:pPr>
            <w:r>
              <w:rPr>
                <w:rFonts w:ascii="仿宋_GB2312" w:hAnsi="仿宋_GB2312" w:cs="仿宋_GB2312" w:eastAsia="仿宋_GB2312"/>
              </w:rPr>
              <w:t>（2）识别并推送相应的重要安全类业务风险行为；</w:t>
            </w:r>
          </w:p>
          <w:p>
            <w:pPr>
              <w:pStyle w:val="null3"/>
            </w:pPr>
            <w:r>
              <w:rPr>
                <w:rFonts w:ascii="仿宋_GB2312" w:hAnsi="仿宋_GB2312" w:cs="仿宋_GB2312" w:eastAsia="仿宋_GB2312"/>
              </w:rPr>
              <w:t>（3）识别并推送相应的重要安全类业务极端风险行为；</w:t>
            </w:r>
          </w:p>
          <w:p>
            <w:pPr>
              <w:pStyle w:val="null3"/>
            </w:pPr>
            <w:r>
              <w:rPr>
                <w:rFonts w:ascii="仿宋_GB2312" w:hAnsi="仿宋_GB2312" w:cs="仿宋_GB2312" w:eastAsia="仿宋_GB2312"/>
              </w:rPr>
              <w:t>（4）识别并推送相应的暴力宣扬风险行为；</w:t>
            </w:r>
          </w:p>
          <w:p>
            <w:pPr>
              <w:pStyle w:val="null3"/>
            </w:pPr>
            <w:r>
              <w:rPr>
                <w:rFonts w:ascii="仿宋_GB2312" w:hAnsi="仿宋_GB2312" w:cs="仿宋_GB2312" w:eastAsia="仿宋_GB2312"/>
              </w:rPr>
              <w:t>（5）识别并推送相应的勾联风险行为；</w:t>
            </w:r>
          </w:p>
          <w:p>
            <w:pPr>
              <w:pStyle w:val="null3"/>
            </w:pPr>
            <w:r>
              <w:rPr>
                <w:rFonts w:ascii="仿宋_GB2312" w:hAnsi="仿宋_GB2312" w:cs="仿宋_GB2312" w:eastAsia="仿宋_GB2312"/>
              </w:rPr>
              <w:t>（6）识别并推送相应的流窜风险行为；</w:t>
            </w:r>
          </w:p>
          <w:p>
            <w:pPr>
              <w:pStyle w:val="null3"/>
            </w:pPr>
            <w:r>
              <w:rPr>
                <w:rFonts w:ascii="仿宋_GB2312" w:hAnsi="仿宋_GB2312" w:cs="仿宋_GB2312" w:eastAsia="仿宋_GB2312"/>
              </w:rPr>
              <w:t>（7）识别并推送相应的聚集风险行为；</w:t>
            </w:r>
          </w:p>
          <w:p>
            <w:pPr>
              <w:pStyle w:val="null3"/>
            </w:pPr>
            <w:r>
              <w:rPr>
                <w:rFonts w:ascii="仿宋_GB2312" w:hAnsi="仿宋_GB2312" w:cs="仿宋_GB2312" w:eastAsia="仿宋_GB2312"/>
              </w:rPr>
              <w:t>（8）基于关联关系和行为特征，应用风险标签传播模型算法、网络社区发现识别模型算法、网络节点中间度识别模型算法、网络节点中心度识别模型算法、汇集模式识别模型算法等，还原重要安全类业务关系链，定位关系链中的各类角色，识别不同角色中的核心成员、骨干分子及中枢节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根据招标文件要求，人员需满足项目实施。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根据招标文件要求，设备需满足项目实施。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项目完成后，成交供应商应无条件配合采购人进行项目验收工作，并按照采购人要求提供验收资料。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1）培训要求：中标人应结合平台安装、调试、试运行、正式运行过程中等各阶段，对平台用户方管理员及使用人员进行操作使用等方面培训和使用答疑。 2）保密要求 ：①在项目实施过程中，中标人所获得的、有关采购人或属于采购人的秘密及其他被认为是秘密的信息，未经采购人同意，不得泄露给任何第三方。②中标人在项目实施中应遵循采购人各项安全保密制度和规章，所有信息数据在迁移、处理等过程中严禁私自复制、传输，完成建设任务后，档案信息数据必须物理清除。 3）验收要求：项目建设完成后，中标人应无条件的配合建设方进行项目验收工作，并按照采购人要求提供验收配套资料。4）履约要求：中标人应按照最终签订合同内容及本项目采购文件、响应文件相关内容完成履约责任，不得将本项目全部内容或部分内容分包或转包，一经发现将取消中标资格并解除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一般资格审查证明材料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供应商需在项目电子化交易系统中按要求填写《响应函》及完成相关承诺并进行电子签章。</w:t>
            </w:r>
          </w:p>
        </w:tc>
        <w:tc>
          <w:tcPr>
            <w:tcW w:type="dxa" w:w="1661"/>
          </w:tcPr>
          <w:p>
            <w:pPr>
              <w:pStyle w:val="null3"/>
            </w:pPr>
            <w:r>
              <w:rPr>
                <w:rFonts w:ascii="仿宋_GB2312" w:hAnsi="仿宋_GB2312" w:cs="仿宋_GB2312" w:eastAsia="仿宋_GB2312"/>
              </w:rPr>
              <w:t>一般资格审查证明材料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须提供法定代表人授权书(附法定代表人、被授权人身份证复印件)及被授权人身份证原件；法定代表人直接参加磋商的，须提供法定代表人身份证明文件；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文件内需签字处有法定代表人或被授权人签字或盖章，响应文件应逐页盖章</w:t>
            </w:r>
          </w:p>
        </w:tc>
        <w:tc>
          <w:tcPr>
            <w:tcW w:type="dxa" w:w="1661"/>
          </w:tcPr>
          <w:p>
            <w:pPr>
              <w:pStyle w:val="null3"/>
            </w:pPr>
            <w:r>
              <w:rPr>
                <w:rFonts w:ascii="仿宋_GB2312" w:hAnsi="仿宋_GB2312" w:cs="仿宋_GB2312" w:eastAsia="仿宋_GB2312"/>
              </w:rPr>
              <w:t>商务响应偏离表 服务响应偏离表 中小企业声明函 报价表 响应文件封面 一般资格审查证明材料 残疾人福利性单位声明函 服务方案 标的清单 特殊资格审查资料 响应函 类似业绩一览表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首次只能有一个有效报价，且不能超过本项目采购预算（最高限价）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应符合磋商文件规定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项目理解与整体服务计划</w:t>
            </w:r>
          </w:p>
        </w:tc>
        <w:tc>
          <w:tcPr>
            <w:tcW w:type="dxa" w:w="2492"/>
          </w:tcPr>
          <w:p>
            <w:pPr>
              <w:pStyle w:val="null3"/>
            </w:pPr>
            <w:r>
              <w:rPr>
                <w:rFonts w:ascii="仿宋_GB2312" w:hAnsi="仿宋_GB2312" w:cs="仿宋_GB2312" w:eastAsia="仿宋_GB2312"/>
              </w:rPr>
              <w:t>包含但不限于：①项目理解、②整体计划安排、③整体服务流程等内容。 1、项目理解与解读准确，计划安排周全，服务流程清晰得(4-6]分； 2、项目理解与解读较准确，计划安排较周全，服务流程较清晰得(3-4]分； 3、项目理解与解读基本准确，计划安排简单，服务流程简单得(2-3]分； 4、项目理解与解读不准确，计划安排不周全，服务流程不清晰得(0-2]分； 5、未提供项目理解与整体服务计划不得分。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系统技术方案</w:t>
            </w:r>
          </w:p>
        </w:tc>
        <w:tc>
          <w:tcPr>
            <w:tcW w:type="dxa" w:w="2492"/>
          </w:tcPr>
          <w:p>
            <w:pPr>
              <w:pStyle w:val="null3"/>
            </w:pPr>
            <w:r>
              <w:rPr>
                <w:rFonts w:ascii="仿宋_GB2312" w:hAnsi="仿宋_GB2312" w:cs="仿宋_GB2312" w:eastAsia="仿宋_GB2312"/>
              </w:rPr>
              <w:t>包括但不限于①总体架构设计、②系统功能模块描述、③技术手段阐述、④具体运用描述、⑤重点难点分析等内容。 1、方案内容合理可行、针对性强可得(12-15]分； 2、方案内容合理性、可行性、针对性较强可得(8-12]分； 3、方案内容合理性、可行性、针对性一般可得(4-8]分； 4、方案内容合理性、可行性差、针对性差可得(0-4]分； 5、未提供系统技术方案不得分。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部署实施方案</w:t>
            </w:r>
          </w:p>
        </w:tc>
        <w:tc>
          <w:tcPr>
            <w:tcW w:type="dxa" w:w="2492"/>
          </w:tcPr>
          <w:p>
            <w:pPr>
              <w:pStyle w:val="null3"/>
            </w:pPr>
            <w:r>
              <w:rPr>
                <w:rFonts w:ascii="仿宋_GB2312" w:hAnsi="仿宋_GB2312" w:cs="仿宋_GB2312" w:eastAsia="仿宋_GB2312"/>
              </w:rPr>
              <w:t>包括但不限于①部署实施计划、②部署工作流程、③平台测试评估等内容。 1、部署实施计划合理，部署工作流程详细清晰，平台测试评估全面得(7-9]分； 2、部署实施计划较合理，部署工作流程较详细、较清晰，平台测试评估较全面得(5-7]分； 3、部署实施计划合理性一般，部署工作流程详细度一般，平台测试评估基本全面得(2-5]分； 4、部署实施计划不合理，部署工作流程不详细、不清晰，平台测试评估不全面得(0-2]分； 4、未提供部署实施方案不得分。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包含但不限于：①质量目标、②质量控制措施、③质量承诺等内容。 1、质量目标明确，质量控制措施完善，质量承诺详细得(7-9]分； 2、质量目标较明确，质量控制措施较完善，质量承诺较详细得(5-7]分； 3、质量目标基本明确，质量控制措施有但完善程度一般，质量承诺简单得(2-5]分； 4、质量目标不明确，质量控制措施不完善，质量承诺不详细得(0-2]分； 5、未提供服务质量控制措施不得分。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包括但不限于：①人员配备、②岗位职责划分、③从业经验、④组织管理等内容。 1、项目人员配备及岗位分工合理，组织管理内容详细、条理清晰，项目负责人和团队人员行业经验丰富得(6-8]分； 2、项目人员配备及岗位分工较合理，组织管理内容较详细、条理较清晰，项目负责人和团队人员有行业经验得(4-6]分； 3、项目人员配备及岗位分工基本合理，组织管理内容有但详细度一般，项目负责人和团队人员有行业经验得(2-4]分； 4、项目人员配备及岗位分工不合理，组织管理内容不详细、条理不清晰，项目负责人和团队人员没有行业经验得(0-2]分； 5、未提供服务人员配备方案不得分。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运维维护方案</w:t>
            </w:r>
          </w:p>
        </w:tc>
        <w:tc>
          <w:tcPr>
            <w:tcW w:type="dxa" w:w="2492"/>
          </w:tcPr>
          <w:p>
            <w:pPr>
              <w:pStyle w:val="null3"/>
            </w:pPr>
            <w:r>
              <w:rPr>
                <w:rFonts w:ascii="仿宋_GB2312" w:hAnsi="仿宋_GB2312" w:cs="仿宋_GB2312" w:eastAsia="仿宋_GB2312"/>
              </w:rPr>
              <w:t>包括但不限于①运维内容、②运维安排计划、③故障应急处理、④平台升级等内容。 1、运维维护内容全面、运维计划科学合理、故障处理措施完善、平台升级方案明确得(8-10]分； 2、运维维护内容较全面、运维计划较科学合理、故障处理措施较完善、平台升级方案较明确得(5-8]分； 3、运维维护内容基本全面、运维计划基本合理、故障处理措施基本完善、平台升级方案基本明确得(2-5]分。 4、运维维护内容不全面、运维计划不科学合理、故障处理措施不完善、平台升级方案不明确得(0-2]分。 5、未提供运维维护方案不得分。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包括但不限于：①案件信息保密方案、②保密措施、③保密制度； 1、保密方案及措施完善，保密制度可行性强得(7-9]分； 2、保密方案及措施较完善，保密制度可行性较强得(5-7]分； 3、保密方案及措施基本完善，保密制度可行性一般得(2-5]分； 4、保密方案及措施不完善，保密制度可行性不强得(0-2]分。 5、未提保密措施不得分。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包括但不限于①培训目标、②培训内容、③培训方式、④培训人员等内容。 1、培训目标清晰、培训内容全面，培训方式得当，培训人员安排合理得(6-8]分； 2、培训目标较清晰、培训内容较全面，培训方式较得当，培训人员安排较合理得(4-6]分； 3、培训目标基本清晰、培训内容基本全面，培训方式基本得当，培训人员安排基本合理得(2-4]分； 4、培训目标不清晰、培训内容不全面，培训方式不得当，培训人员安排不合理得(0-2]分。 5、未提供培训方案不得分。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包括但不限于①售后服务方案、②售后服务承诺、③售后服务内容等。 1、售后服务方案切实可行，服务内容完整，售后承诺明确得(4-6]分； 2、售后服务方案较可行，服务内容较完整，售后承诺较明确得(3-4]分； 3、售后服务方案基本可行，服务内容基本完整，售后承诺基本明确得(2-3]分； 4、售后服务方案不切实际，服务内容较差，售后承诺不明确得(0-2]分； 5、未提供售后服务不得分。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供应商提供2022年1月1日以来独立承担过类似项目业绩，每个业绩计2.5分，最高计5分。注：业绩证明文件以合同为准，时间以合同签订时间为准，未提供或不清晰导致无法识别的不予认可。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满足磋商文件要求且最终报价最低的供应商的价格为磋商基准价得15分，其他各供应商的最终报价得分按下列公式计算：（磋商基准价/最终磋商报价）×15％×100。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