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版本号：SXGLZFCG2028-038号20250911001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地质灾害隐患点监测预警设备维护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SXGLZFCG2028-038号</w:t>
      </w:r>
      <w:r>
        <w:br/>
      </w:r>
      <w:r>
        <w:br/>
      </w:r>
      <w:r>
        <w:br/>
      </w:r>
    </w:p>
    <w:p>
      <w:pPr>
        <w:pStyle w:val="null3"/>
        <w:jc w:val="center"/>
        <w:outlineLvl w:val="2"/>
      </w:pPr>
      <w:r>
        <w:rPr>
          <w:rFonts w:ascii="仿宋_GB2312" w:hAnsi="仿宋_GB2312" w:cs="仿宋_GB2312" w:eastAsia="仿宋_GB2312"/>
          <w:sz w:val="28"/>
          <w:b/>
        </w:rPr>
        <w:t>铜川市自然资源局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w:t>
      </w:r>
      <w:r>
        <w:rPr>
          <w:rFonts w:ascii="仿宋_GB2312" w:hAnsi="仿宋_GB2312" w:cs="仿宋_GB2312" w:eastAsia="仿宋_GB2312"/>
        </w:rPr>
        <w:t>委托，拟对</w:t>
      </w:r>
      <w:r>
        <w:rPr>
          <w:rFonts w:ascii="仿宋_GB2312" w:hAnsi="仿宋_GB2312" w:cs="仿宋_GB2312" w:eastAsia="仿宋_GB2312"/>
        </w:rPr>
        <w:t>地质灾害隐患点监测预警设备维护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SXGLZFCG2028-038号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地质灾害隐患点监测预警设备维护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对已建的63处普适性地质灾害监测点开展运行维护和灾害点预警响应工作。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采购包1（地质灾害隐患点监测预警设备维护）：属于专门面向小微企业采购。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v.cn）政府采购严重违法失信行为记录名单中被财政部门禁止参加政府采购活动的供应商；</w:t>
      </w:r>
    </w:p>
    <w:p>
      <w:pPr>
        <w:pStyle w:val="null3"/>
      </w:pPr>
      <w:r>
        <w:rPr>
          <w:rFonts w:ascii="仿宋_GB2312" w:hAnsi="仿宋_GB2312" w:cs="仿宋_GB2312" w:eastAsia="仿宋_GB2312"/>
        </w:rPr>
        <w:t>3、财务状况报告：供应商提供2022年至今任意一年的财务审计报告(成立时间至提交响应文件截止时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4、履行能力：具有履行合同所必需的设备和专业技术能力，提供证明材料或书面承诺并加盖公章；</w:t>
      </w:r>
    </w:p>
    <w:p>
      <w:pPr>
        <w:pStyle w:val="null3"/>
      </w:pPr>
      <w:r>
        <w:rPr>
          <w:rFonts w:ascii="仿宋_GB2312" w:hAnsi="仿宋_GB2312" w:cs="仿宋_GB2312" w:eastAsia="仿宋_GB2312"/>
        </w:rPr>
        <w:t>5、无重大违法记录声明：参加政府采购活动近三年内，在经营活动中没有重大违法记录，提供书面声明；</w:t>
      </w:r>
    </w:p>
    <w:p>
      <w:pPr>
        <w:pStyle w:val="null3"/>
      </w:pPr>
      <w:r>
        <w:rPr>
          <w:rFonts w:ascii="仿宋_GB2312" w:hAnsi="仿宋_GB2312" w:cs="仿宋_GB2312" w:eastAsia="仿宋_GB2312"/>
        </w:rPr>
        <w:t>6、税收缴纳证明：提供响应文件递交截止时间前6个月内任意1个月已缴纳完税凭证（任意税种）或 税务机关开具的完税证明（任意税种），依法免税的单位应提供相关证明材料；</w:t>
      </w:r>
    </w:p>
    <w:p>
      <w:pPr>
        <w:pStyle w:val="null3"/>
      </w:pPr>
      <w:r>
        <w:rPr>
          <w:rFonts w:ascii="仿宋_GB2312" w:hAnsi="仿宋_GB2312" w:cs="仿宋_GB2312" w:eastAsia="仿宋_GB2312"/>
        </w:rPr>
        <w:t>7、社会保障资金缴纳证明：提供响应文件递交截止时间前6个月内任意1个月已缴存的任意时段的社会保障资 金缴存单据或社保机构开具的社会保险参保缴费情况证明，依法不需要缴纳社会保障资金的单位应提供相关证明材料；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对已建的63处普适性地质灾害监测点开展运行维护和灾害点预警响应工作。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为维护地质灾害隐患点群众生命和财产安全，确保监测预警体系持续稳定运行，对已建的</w:t>
            </w:r>
            <w:r>
              <w:rPr>
                <w:rFonts w:ascii="仿宋_GB2312" w:hAnsi="仿宋_GB2312" w:cs="仿宋_GB2312" w:eastAsia="仿宋_GB2312"/>
                <w:sz w:val="28"/>
              </w:rPr>
              <w:t>63处普适性地质灾害监测点开展运行维护和灾害点预警响应工作的周期为1年。运维涉及设备：压电式雨量站23套；GNSS 自动地表位移监测站64套；普适型裂缝监测站36套；地表倾斜加速度监测站（倾角、加速度二合一）49 套；土壤含水率监测站9套；无线预警广播站59套。</w:t>
            </w:r>
          </w:p>
          <w:p>
            <w:pPr>
              <w:pStyle w:val="null3"/>
              <w:ind w:firstLine="560"/>
              <w:jc w:val="both"/>
            </w:pPr>
            <w:r>
              <w:rPr>
                <w:rFonts w:ascii="仿宋_GB2312" w:hAnsi="仿宋_GB2312" w:cs="仿宋_GB2312" w:eastAsia="仿宋_GB2312"/>
                <w:sz w:val="28"/>
              </w:rPr>
              <w:t>1.依据《地质灾害普适型仪器监测预警点建设与运维预算标准（试行）》（自然资源部中国地质调查局，2022年11月）（下文简称预算标准）中关于对灾害规模分类标准的规定，铜川市已建63处普适性地质灾害监测点分类如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1）滑坡特大型 2 处，大型 12 处，中型 24 处，小型 1 处；各滑坡点规模分类见表1;</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2）崩塌及地面塌陷特大型 4 处，大型 5 处，中型 13 处，小型2处；各崩塌及地面塌陷地灾点规模分类见表2;</w:t>
            </w:r>
          </w:p>
          <w:p>
            <w:pPr>
              <w:pStyle w:val="null3"/>
              <w:ind w:firstLine="560"/>
              <w:jc w:val="center"/>
            </w:pPr>
            <w:r>
              <w:rPr>
                <w:rFonts w:ascii="仿宋_GB2312" w:hAnsi="仿宋_GB2312" w:cs="仿宋_GB2312" w:eastAsia="仿宋_GB2312"/>
                <w:sz w:val="28"/>
                <w:color w:val="000000"/>
              </w:rPr>
              <w:t>表</w:t>
            </w:r>
            <w:r>
              <w:rPr>
                <w:rFonts w:ascii="仿宋_GB2312" w:hAnsi="仿宋_GB2312" w:cs="仿宋_GB2312" w:eastAsia="仿宋_GB2312"/>
                <w:sz w:val="28"/>
                <w:color w:val="000000"/>
              </w:rPr>
              <w:t>1：铜川市滑坡类地质灾害点规模统计明细表</w:t>
            </w:r>
          </w:p>
          <w:tbl>
            <w:tblPr>
              <w:tblBorders>
                <w:top w:val="none" w:color="000000" w:sz="4"/>
                <w:left w:val="none" w:color="000000" w:sz="4"/>
                <w:bottom w:val="none" w:color="000000" w:sz="4"/>
                <w:right w:val="none" w:color="000000" w:sz="4"/>
                <w:insideH w:val="none"/>
                <w:insideV w:val="none"/>
              </w:tblBorders>
            </w:tblPr>
            <w:tblGrid>
              <w:gridCol w:w="307"/>
              <w:gridCol w:w="768"/>
              <w:gridCol w:w="965"/>
              <w:gridCol w:w="513"/>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监测点名称</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滑坡体积</w:t>
                  </w:r>
                  <w:r>
                    <w:rPr>
                      <w:rFonts w:ascii="仿宋_GB2312" w:hAnsi="仿宋_GB2312" w:cs="仿宋_GB2312" w:eastAsia="仿宋_GB2312"/>
                      <w:sz w:val="24"/>
                      <w:color w:val="000000"/>
                    </w:rPr>
                    <w:t>V(×104 m 3 )</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规模</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塑钢厂滑坡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老苗沟二组滑坡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云梦堤三组滑坡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庙湾镇蔡河村滑坡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石管子滑坡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云梦堤二组滑坡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郭家河滑坡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棋盘镇马泉村五组滑坡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尖山村前梁滑坡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瑶曲镇背阴村聂山组滑坡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新风居委崩塌</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石柱镇神湫村下庄河组滑坡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27.984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柿树沟南坡滑坡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陈家山矿北家属区滑坡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照金镇梨树村夹道组滑坡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石柱镇神湫村郑河组滑坡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孙家河滑坡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云梦堤一组滑坡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圪坮滑坡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傲背村罗塔组滑坡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杏树坪滑坡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瑶曲镇瑶曲村杜家三组滑坡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孙塬镇贺咀村一组滑坡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照金镇梨树村麻地组前坪滑坡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庙湾镇瑶玉村义坪组塔凹滑坡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苟村庞山组滑坡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老苗沟滑坡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123.9</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高平村滑坡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庙湾镇贺庄村贺庄组背凹滑坡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姜女泉东侧滑坡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126.004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耀州区瑶曲镇草滩村委会滑坡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崔家沟村上崾岘东湾滑坡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关庄镇金马村虎河组滑坡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瑶曲镇教场坪村草滩荒草湾滑坡</w:t>
                  </w:r>
                  <w:r>
                    <w:rPr>
                      <w:rFonts w:ascii="仿宋_GB2312" w:hAnsi="仿宋_GB2312" w:cs="仿宋_GB2312" w:eastAsia="仿宋_GB2312"/>
                      <w:sz w:val="24"/>
                    </w:rPr>
                    <w:t>2</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240.072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北沟村阳坡组滑坡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苦桃洼滑坡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720.0144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南公房滑坡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瑶曲镇瑶曲村北司马组滑坡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特大型</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川口滑坡</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特大型</w:t>
                  </w:r>
                </w:p>
              </w:tc>
            </w:tr>
          </w:tbl>
          <w:p>
            <w:pPr>
              <w:pStyle w:val="null3"/>
              <w:jc w:val="center"/>
            </w:pPr>
            <w:r>
              <w:rPr>
                <w:rFonts w:ascii="仿宋_GB2312" w:hAnsi="仿宋_GB2312" w:cs="仿宋_GB2312" w:eastAsia="仿宋_GB2312"/>
                <w:sz w:val="28"/>
                <w:color w:val="000000"/>
              </w:rPr>
              <w:t>表</w:t>
            </w:r>
            <w:r>
              <w:rPr>
                <w:rFonts w:ascii="仿宋_GB2312" w:hAnsi="仿宋_GB2312" w:cs="仿宋_GB2312" w:eastAsia="仿宋_GB2312"/>
                <w:sz w:val="28"/>
                <w:color w:val="000000"/>
              </w:rPr>
              <w:t>2：铜川市崩塌及地面塌陷类地质灾害点规模统计明细表</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监测点名称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崩塌体积</w:t>
                  </w:r>
                  <w:r>
                    <w:rPr>
                      <w:rFonts w:ascii="仿宋_GB2312" w:hAnsi="仿宋_GB2312" w:cs="仿宋_GB2312" w:eastAsia="仿宋_GB2312"/>
                      <w:sz w:val="24"/>
                      <w:color w:val="000000"/>
                    </w:rPr>
                    <w:t>V(×104 m 3 )</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规模</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南关一组南头沟崩塌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董家河镇党家河村崩塌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2.2968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王洼村芋圆塔组崩塌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三合村桥梁组崩塌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4.08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刘河村上硷崩塌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耀州区关庄镇北村九里坡组崩塌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老虎沟</w:t>
                  </w:r>
                  <w:r>
                    <w:rPr>
                      <w:rFonts w:ascii="仿宋_GB2312" w:hAnsi="仿宋_GB2312" w:cs="仿宋_GB2312" w:eastAsia="仿宋_GB2312"/>
                      <w:sz w:val="24"/>
                    </w:rPr>
                    <w:t>102－副108号院后崩塌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杨塬村北湾崩塌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6.75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皇姑庄组崩塌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7.02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官窑子崩塌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9.0002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前川崩塌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9.7875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陈邦贵屋后崩塌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9.7992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偏桥上村崩塌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11.00025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阳坡崩塌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偏桥邮电所北崩塌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20.0005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新兴社区新兴沟崩塌群</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136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特大型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田峪村寺坪塌陷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中型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马场小学地面塌陷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周家村崖垚地面塌陷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屽村郭家渠地面塌陷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特大型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孙家坳一组地面塌陷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特大型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黑池塬地面塌陷</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特大型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王家坪崩塌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小型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崾崄村筛子沟组崩塌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小型</w:t>
                  </w:r>
                </w:p>
              </w:tc>
            </w:tr>
          </w:tbl>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.其他要求</w:t>
            </w:r>
          </w:p>
          <w:p>
            <w:pPr>
              <w:pStyle w:val="null3"/>
              <w:jc w:val="both"/>
            </w:pPr>
            <w:r>
              <w:rPr>
                <w:rFonts w:ascii="仿宋_GB2312" w:hAnsi="仿宋_GB2312" w:cs="仿宋_GB2312" w:eastAsia="仿宋_GB2312"/>
                <w:sz w:val="28"/>
              </w:rPr>
              <w:t>本次计划对已建的</w:t>
            </w:r>
            <w:r>
              <w:rPr>
                <w:rFonts w:ascii="仿宋_GB2312" w:hAnsi="仿宋_GB2312" w:cs="仿宋_GB2312" w:eastAsia="仿宋_GB2312"/>
                <w:sz w:val="28"/>
              </w:rPr>
              <w:t>63处普适性地质灾害监测点</w:t>
            </w:r>
            <w:r>
              <w:rPr>
                <w:rFonts w:ascii="仿宋_GB2312" w:hAnsi="仿宋_GB2312" w:cs="仿宋_GB2312" w:eastAsia="仿宋_GB2312"/>
                <w:sz w:val="28"/>
              </w:rPr>
              <w:t>共</w:t>
            </w:r>
            <w:r>
              <w:rPr>
                <w:rFonts w:ascii="仿宋_GB2312" w:hAnsi="仿宋_GB2312" w:cs="仿宋_GB2312" w:eastAsia="仿宋_GB2312"/>
                <w:sz w:val="28"/>
              </w:rPr>
              <w:t>240套监测设备</w:t>
            </w:r>
            <w:r>
              <w:rPr>
                <w:rFonts w:ascii="仿宋_GB2312" w:hAnsi="仿宋_GB2312" w:cs="仿宋_GB2312" w:eastAsia="仿宋_GB2312"/>
                <w:sz w:val="28"/>
              </w:rPr>
              <w:t>开展运行维护和灾害点预警响应工作的周期为</w:t>
            </w:r>
            <w:r>
              <w:rPr>
                <w:rFonts w:ascii="仿宋_GB2312" w:hAnsi="仿宋_GB2312" w:cs="仿宋_GB2312" w:eastAsia="仿宋_GB2312"/>
                <w:sz w:val="28"/>
              </w:rPr>
              <w:t>1年，设备更换服务期为30日历天</w:t>
            </w:r>
            <w:r>
              <w:rPr>
                <w:rFonts w:ascii="仿宋_GB2312" w:hAnsi="仿宋_GB2312" w:cs="仿宋_GB2312" w:eastAsia="仿宋_GB2312"/>
                <w:sz w:val="28"/>
              </w:rPr>
              <w:t>，</w:t>
            </w:r>
            <w:r>
              <w:rPr>
                <w:rFonts w:ascii="仿宋_GB2312" w:hAnsi="仿宋_GB2312" w:cs="仿宋_GB2312" w:eastAsia="仿宋_GB2312"/>
                <w:sz w:val="28"/>
              </w:rPr>
              <w:t>各类监测设备的更换比例不低于</w:t>
            </w:r>
            <w:r>
              <w:rPr>
                <w:rFonts w:ascii="仿宋_GB2312" w:hAnsi="仿宋_GB2312" w:cs="仿宋_GB2312" w:eastAsia="仿宋_GB2312"/>
                <w:sz w:val="28"/>
              </w:rPr>
              <w:t>15%</w:t>
            </w:r>
            <w:r>
              <w:rPr>
                <w:rFonts w:ascii="仿宋_GB2312" w:hAnsi="仿宋_GB2312" w:cs="仿宋_GB2312" w:eastAsia="仿宋_GB2312"/>
                <w:sz w:val="2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未按合同或竞争性磋商文件要求提供服务质量不能满足采购人技术要求，采购人有权终止合同，并对供应商违约行为进行追究。具体违约情况及解决方法以实际签订合同为准。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 竞争性磋商响应文件，同时，于开标前线下提交竞争性磋商响应文件纸质版至陕西省铜川市新区铁诺南路6号（铜川市国有资 本投资运营有限公司）院内1楼102室，响应文件正本一份，副本一份，电子U盘一份。竞争性磋商响应文件纸质版正本、副 本与电子版一同密封，且在封袋正面标明“竞争性磋商响应文件纸质版”字样。封袋应加贴封条，并在封线处加盖供应商公章， 封袋正面要粘贴供应商全称、项目名称、编号等标识。若电子竞争性磋商响应文件与纸质竞争性磋商响应文件不一致的，以电 子竞争性磋商响应文件为准。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其它资料.docx 报价表 响应文件封面 法定代表人身份证明书.docx 供应商应提交的相关资格证明材料.docx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 报价，不得出现其他金额报价，否则按无效报 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总体运行维护方案</w:t>
            </w:r>
          </w:p>
        </w:tc>
        <w:tc>
          <w:tcPr>
            <w:tcW w:type="dxa" w:w="2492"/>
          </w:tcPr>
          <w:p>
            <w:pPr>
              <w:pStyle w:val="null3"/>
            </w:pPr>
            <w:r>
              <w:rPr>
                <w:rFonts w:ascii="仿宋_GB2312" w:hAnsi="仿宋_GB2312" w:cs="仿宋_GB2312" w:eastAsia="仿宋_GB2312"/>
              </w:rPr>
              <w:t>针对地质灾害隐患点监测预警设备维护项目硬件更换及运维服务方案，至少包括：① 总体服务方案；②硬件更换方案；③运维方案。 本项共15分。 每个单项内容详细完整、思路明晰合理、针对性强，得 5 分； 每个单项内容基本完整、思路基本合理、有一定针对性，得 3 分； 每个单项内容不完整、思路模糊、针对性差得 1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结合本项目实际情况，制定详细完整的服务质量保证措施，并提供明确的服务质量承诺； 措施详细完整、可行性、针对性强，得 12分； 措施比较完整，可行性及针对性较强，得 11分； 措施相对完整，有一定的可行性及针对性，得 10分； 保障措施基本完整、可行，得 9分； 措施、可行性措施简单，得 8 分； 措施简略，可行性存在不足，得 7分； 保障措施存在漏洞、合理性、可行性差，得 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运维检修工具、仪器、工程车辆配备情况</w:t>
            </w:r>
          </w:p>
        </w:tc>
        <w:tc>
          <w:tcPr>
            <w:tcW w:type="dxa" w:w="2492"/>
          </w:tcPr>
          <w:p>
            <w:pPr>
              <w:pStyle w:val="null3"/>
            </w:pPr>
            <w:r>
              <w:rPr>
                <w:rFonts w:ascii="仿宋_GB2312" w:hAnsi="仿宋_GB2312" w:cs="仿宋_GB2312" w:eastAsia="仿宋_GB2312"/>
              </w:rPr>
              <w:t>针对本项目运维提供的检修工具、设备仪器、车辆配备情况，根据配备情况合理性、齐全性进行赋分； 配置合理、满足本项目的服务要求，得 10 分； 配置比较合理、勉强满足本项目的服务要求，得 9 分； 配置相对合理、能满足本项目大部分的服务要求，得 8 分； 配置基本合理，能满足本项目的部分服务要求，得 7分； 配置简单，本项目的服务要求有部分不能满足，得 6 分； 配置合理性差、不能满足项目要求，得 5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重点和难点分析</w:t>
            </w:r>
          </w:p>
        </w:tc>
        <w:tc>
          <w:tcPr>
            <w:tcW w:type="dxa" w:w="2492"/>
          </w:tcPr>
          <w:p>
            <w:pPr>
              <w:pStyle w:val="null3"/>
            </w:pPr>
            <w:r>
              <w:rPr>
                <w:rFonts w:ascii="仿宋_GB2312" w:hAnsi="仿宋_GB2312" w:cs="仿宋_GB2312" w:eastAsia="仿宋_GB2312"/>
              </w:rPr>
              <w:t>针对本项目运维需求重点和难点进行分析，包括：①设备维护更换重点和难点分析；②后期运维重点和难点分析，根据其完整性、科学性赋分； 本项共 8分。 每个单项内容详细完整、思路明晰合理、针对性强，得 4 分； 每个单项内容基本完整、思路基本合理、有一定针对性，得 3 分； 每个单项内容不完整、思路模糊、针对性一般得 2 分；每个单项内容粗略、思路差、针对性差得 1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拟投入本项目的人员配备</w:t>
            </w:r>
          </w:p>
        </w:tc>
        <w:tc>
          <w:tcPr>
            <w:tcW w:type="dxa" w:w="2492"/>
          </w:tcPr>
          <w:p>
            <w:pPr>
              <w:pStyle w:val="null3"/>
            </w:pPr>
            <w:r>
              <w:rPr>
                <w:rFonts w:ascii="仿宋_GB2312" w:hAnsi="仿宋_GB2312" w:cs="仿宋_GB2312" w:eastAsia="仿宋_GB2312"/>
              </w:rPr>
              <w:t>拟投入运维团队：工程师、软件技术人员、硬件技术人员、后期运行驻场人员、施工人员若干名，根据岗位设置合理性、人员组织架构完整性进行赋分； 人员组织架构完整，岗位设置合理、明确，充分满足本项目采购要求得 10 分； 人员组织架构比较完整，岗位设置比较合理，能够满足本项目采购要求得 9 分； 人员组织架构相对完整，岗位设置有一定的合理性，基本满 足本项目采购要求得 8 分； 人员组织架构基本完整，岗位设置基本合理，基本满足本项 目采购要求得 7 分； 人员组织架构不够完善，岗位设置合理性一般，不能满足本项目采购要求得 6 分； 人员组织架构笼统简单，岗位设置不够合理得 5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在满足采购人需求的基础上额外提供了合理化建议，根据其完整性、科学性赋分； 建议内容科学可行，有针对性且内容丰富，得 10 分； 建议内容较为可行，针对性较强，得 9 分； 建议内容相对可行，针对性相对较强，得 8 分； 建议内容基本可行，具有一定的针对性，得7 分； 建议内容笼统简单，有针对性，得 6 分； 建议内容存在漏洞，不具备针对性，得 5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供应商针对本项目提供应急预案，包括但不限于①应急事件处理；②特殊时段保障预案；③应急响应时间等内容。 本项共 9分。 每个单项内容详细完整、思路明晰合理、针对性强，得 3 分； 每个单项内容基本完整、思路基本合理、有一定针对性，得 2 分； 每个单项内容不完整、思路模糊、针对性差得 1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根据项目特殊性，投标人承诺具有本地化售后服务能力，在项目所在地有常驻售后服务机构或分支机构或常驻技术人员，同时具有完善的售后服务体系，服务体系健全、便捷、高效，可提供免费技术培训， 措施详细完整、可行性、针对性强，得5分； 措施比较完整，可行性及针对性较强，得 4分； 措施相对完整，有一定的可行性及针对性，得 3分； 措施、可行性措施简单，得 2 分； 措施存在漏洞、合理性、可行性差，得 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提供供应商2022年1月至今类似业绩合同（以合同签订时间为准），每提供一份得2分，最高得6分，未提供不得分。 评审标准：提供完整合同扫描件或中标（成交通知书）加盖供应商公章。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2、满足竞争性磋商文件实质性要求且最终报价最低的供应商的价格为磋商基准价，其价格分为满分15分。 3、磋商报价得分=（磋商基准价/最终磋商报价）×15。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