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版本号：TCZFCG-2025-0068120250911001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铜川市人民检察院机关物业外包服务项目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TCZFCG-2025-00681</w:t>
      </w:r>
      <w:r>
        <w:br/>
      </w:r>
      <w:r>
        <w:br/>
      </w:r>
      <w:r>
        <w:br/>
      </w:r>
    </w:p>
    <w:p>
      <w:pPr>
        <w:pStyle w:val="null3"/>
        <w:jc w:val="center"/>
        <w:outlineLvl w:val="2"/>
      </w:pPr>
      <w:r>
        <w:rPr>
          <w:rFonts w:ascii="仿宋_GB2312" w:hAnsi="仿宋_GB2312" w:cs="仿宋_GB2312" w:eastAsia="仿宋_GB2312"/>
          <w:sz w:val="28"/>
          <w:b/>
        </w:rPr>
        <w:t>陕西省铜川市人民检察院</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陕西省铜川市人民检察院</w:t>
      </w:r>
      <w:r>
        <w:rPr>
          <w:rFonts w:ascii="仿宋_GB2312" w:hAnsi="仿宋_GB2312" w:cs="仿宋_GB2312" w:eastAsia="仿宋_GB2312"/>
        </w:rPr>
        <w:t>委托，拟对</w:t>
      </w:r>
      <w:r>
        <w:rPr>
          <w:rFonts w:ascii="仿宋_GB2312" w:hAnsi="仿宋_GB2312" w:cs="仿宋_GB2312" w:eastAsia="仿宋_GB2312"/>
        </w:rPr>
        <w:t>铜川市人民检察院机关物业外包服务项目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TCZFCG-2025-00681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铜川市人民检察院机关物业外包服务项目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一、项目基本情况 服务地点：铜川市新区长虹北路3号，规划用地面积：19.86亩。 二、物业服务内容与要求 1.服务模式：酬金制 甲方承担费用范围：人力劳务费、管理费、法定税费等。 2.管理服务范围： 建筑物与构筑物（含机关食堂）、配套设施设备（含电梯维保费）、道路、空地、草坪（含树木补栽费）、环境卫生（含垃圾清运费）、秩序维护 3.岗位职责与要求：（按行业标准执行） (一)工程设备及维修人员 核心要求：大局意识、及时维修、安全第一、服务第一。 制度管理： 建立登记制度，定期维护保养，做好各项管理工作记录，及时收存并定期上交。 维修响应： 对临时突发报修事项，及时处理。 人员管理： 定期组织安全教育。 定期组织技术业务培训。 工作态度：细致认真、不拖延、不积压，保质保量。 (二)保洁员 管理模式：专人管理、专人负责。 保洁标准：“五定”管理，标准化清洁。 动态保洁：每日保持动态整洁。 区域要求： 保持公共区域清洁。 雨天及时疏通排水部位。 专项服务：安排专人做好会议期间服务工作。 环境健康： 根据季节及要求，及时进行病媒生物防制（如除四害）和消毒工作。 做好相关防制与消毒记录。 安全操作：使用清洁工具，做好安全防护。 (三)绿化员 专业技能： 学习绿化专业知识（植物名称、特性、病虫害防治）。 清楚各类绿化物料使用方法。 养护管理： 按规程进行养护工作：修剪、整形、清理、施肥、防病治虫等。 按时按质完成责任区管养、种植任务。 发现问题及时处理并上报，记录处理过程。 季节性措施： 落实排涝、防风、防高温、抗旱等措施。 遇不可抗力自然灾害时，及时采取有效防范或补救措施，减少损失。 安全管理： 进行喷洒农药、修剪树木等危险作业时，保障环境及人员安全。 农药专人管理，有使用记录。 严格遵守各项安全操作规程。 (四)门房管理人员(秩序维护) 基本素质：强烈的责任心、正义感。 值守要求：实行24小时值勤服务。 人员管理： 对来访人员实行登记制度。 对机动车辆实行出入管理。 访客接待流程： 持有有效证件的公务/来访人员：联系办公室，获同意接待后→办理登记→指引进入办公区→由相关部门人员带入。 要求会见院领导的公务/来访人员：联系办公室预约→获院领导同意后方可进入办公区域。 (隐含)安全职责：维护办公区域出入口秩序与安全。 (五)消防系统 24小时应急值守，接报后第一时间响应。 日常巡查与检测： 每日检查消防控制室设备运行状态、报警记录。 每周巡查消防栓、灭火器、应急照明、疏散指示标志的完好性。 每月测试火灾自动报警系统、喷淋系统末端试水装置。 消防设备检测与维护： 1、消防泵：每月一次启动检查并做好相关日志记录，保证运行正常，设施完好、 无渗漏；每年至少一次一级保养。 2、消防栓：每月巡查一次，检查消防栓箱内各种配件完好。每月抽取部分消防 栓放水检查，做好相关台账记录。每年至少保养一次； 阀杆每半年加注润滑油，启动灵活运行正常。 3、火警、报警功能：确保功能正常。 4、探测器控制装置：每年至少一次试验，保证功能正常。 5、火灾探测器：每年至少一次试验，出现问题及时清洗 或更换。 6、消防水带：每季度检查一次，确保完好无缺，无霉变。 7、灭火器：每月检查一次，发现问题及时进行整改。 8、消防仪表：每周巡查，保证压力正常。 9、风机房内设备设施：每年至少一次全面保养，设备正常运行，无损坏现象， 表面无积尘，并做好记录。 (六)电梯系统 日常管理： 每日巡查电梯运行状况（异响、平层精度、按钮响应）。 安全设施保障齐全，定期检查电梯内警告标志，及时与电梯维保公司沟通确保电梯内应急电话保持正常工作状态。 24小时应急值守，接报后3分钟内响应。遇到电梯故障停运接到报修后第一时间通知维保单位的维修人员到达现场抢修，排除故障。 确保电梯准用证、年检合格证齐全。 对专业维保单位的维保工作予以配合与监督，做好电梯维保档案台账。 保持轿厢清洁、通风、照明正常。 三、物业服务人员配备 1.配备依据：实际管理区域情况、管理服务特点、服务标准。 2.最低配置人数：至少14名且年龄不超过60周岁，其中：水电工1名，绿化员1名，消防人员1名。 3.配置原则：各岗位人员配备需合理齐全。 4.保密要求（核心）： 严格遵守国家及检察机关保密法律、法规、规章制度。 自觉履行保密义务。 严禁行为： 未经批准擅自发表涉及未公开工作内容的信息。 以检察机关名义擅自发布信息。 以任何方式泄露接触和知悉的国家秘密及检察工作秘密。 四、购买服务期限 合同期：自合同签订之日起生效，期限为1年。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采购包1（铜川市人民检察院机关物业外包服务项目）：属于专门面向中小企业采购。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陕西省铜川市人民检察院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新区长虹北路3号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陕西省铜川市人民检察院经办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13991584319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陕西省铜川市人民检察院</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陕西省铜川市人民检察院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陕西省铜川市人民检察院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陕西省铜川市人民检察院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一、项目基本情况 服务地点：铜川市新区长虹北路3号，规划用地面积：19.86亩。 二、物业服务内容与要求 1.服务模式：酬金制 甲方承担费用范围：人力劳务费、管理费、法定税费等。 2.管理服务范围： 建筑物与构筑物（含机关食堂）、配套设施设备（含电梯维保费）、道路、空地、草坪（含树木补栽费）、环境卫生（含垃圾清运费）、秩序维护 3.岗位职责与要求：（按行业标准执行） (一)工程设备及维修人员 核心要求：大局意识、及时维修、安全第一、服务第一。 制度管理： 建立登记制度，定期维护保养，做好各项管理工作记录，及时收存并定期上交。 维修响应： 对临时突发报修事项，及时处理。 人员管理： 定期组织安全教育。 定期组织技术业务培训。 工作态度：细致认真、不拖延、不积压，保质保量。 (二)保洁员 管理模式：专人管理、专人负责。 保洁标准：“五定”管理，标准化清洁。 动态保洁：每日保持动态整洁。 区域要求： 保持公共区域清洁。 雨天及时疏通排水部位。 专项服务：安排专人做好会议期间服务工作。 环境健康： 根据季节及要求，及时进行病媒生物防制（如除四害）和消毒工作。 做好相关防制与消毒记录。 安全操作：使用清洁工具，做好安全防护。 (三)绿化员 专业技能： 学习绿化专业知识（植物名称、特性、病虫害防治）。 清楚各类绿化物料使用方法。 养护管理： 按规程进行养护工作：修剪、整形、清理、施肥、防病治虫等。 按时按质完成责任区管养、种植任务。 发现问题及时处理并上报，记录处理过程。 季节性措施： 落实排涝、防风、防高温、抗旱等措施。 遇不可抗力自然灾害时，及时采取有效防范或补救措施，减少损失。 安全管理： 进行喷洒农药、修剪树木等危险作业时，保障环境及人员安全。 农药专人管理，有使用记录。 严格遵守各项安全操作规程。 (四)门房管理人员(秩序维护) 基本素质：强烈的责任心、正义感。 值守要求：实行24小时值勤服务。 人员管理： 对来访人员实行登记制度。 对机动车辆实行出入管理。 访客接待流程： 持有有效证件的公务/来访人员：联系办公室，获同意接待后→办理登记→指引进入办公区→由相关部门人员带入。 要求会见院领导的公务/来访人员：联系办公室预约→获院领导同意后方可进入办公区域。 (隐含)安全职责：维护办公区域出入口秩序与安全。 (五)消防系统 24小时应急值守，接报后第一时间响应。 日常巡查与检测： 每日检查消防控制室设备运行状态、报警记录。 每周巡查消防栓、灭火器、应急照明、疏散指示标志的完好性。 每月测试火灾自动报警系统、喷淋系统末端试水装置。 消防设备检测与维护： 1、消防泵：每月一次启动检查并做好相关日志记录，保证运行正常，设施完好、 无渗漏；每年至少一次一级保养。 2、消防栓：每月巡查一次，检查消防栓箱内各种配件完好。每月抽取部分消防 栓放水检查，做好相关台账记录。每年至少保养一次； 阀杆每半年加注润滑油，启动灵活运行正常。 3、火警、报警功能：确保功能正常。 4、探测器控制装置：每年至少一次试验，保证功能正常。 5、火灾探测器：每年至少一次试验，出现问题及时清洗 或更换。 6、消防水带：每季度检查一次，确保完好无缺，无霉变。 7、灭火器：每月检查一次，发现问题及时进行整改。 8、消防仪表：每周巡查，保证压力正常。 9、风机房内设备设施：每年至少一次全面保养，设备正常运行，无损坏现象， 表面无积尘，并做好记录。 (六)电梯系统 日常管理： 每日巡查电梯运行状况（异响、平层精度、按钮响应）。 安全设施保障齐全，定期检查电梯内警告标志，及时与电梯维保公司沟通确保电梯内应急电话保持正常工作状态。 24小时应急值守，接报后3分钟内响应。遇到电梯故障停运接到报修后第一时间通知维保单位的维修人员到达现场抢修，排除故障。 确保电梯准用证、年检合格证齐全。 对专业维保单位的维保工作予以配合与监督，做好电梯维保档案台账。 保持轿厢清洁、通风、照明正常。 三、物业服务人员配备 1.配备依据：实际管理区域情况、管理服务特点、服务标准。 2.最低配置人数：至少14名且年龄不超过60周岁，其中：水电工1名，绿化员1名，消防人员1名。 3.配置原则：各岗位人员配备需合理齐全。 4.保密要求（核心）： 严格遵守国家及检察机关保密法律、法规、规章制度。 自觉履行保密义务。 严禁行为： 未经批准擅自发表涉及未公开工作内容的信息。 以检察机关名义擅自发布信息。 以任何方式泄露接触和知悉的国家秘密及检察工作秘密。 四、购买服务期限 合同期：自合同签订之日起生效，期限为1年。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448,000.00</w:t>
      </w:r>
    </w:p>
    <w:p>
      <w:pPr>
        <w:pStyle w:val="null3"/>
      </w:pPr>
      <w:r>
        <w:rPr>
          <w:rFonts w:ascii="仿宋_GB2312" w:hAnsi="仿宋_GB2312" w:cs="仿宋_GB2312" w:eastAsia="仿宋_GB2312"/>
        </w:rPr>
        <w:t>采购包最高限价（元）: 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物业外包服务项目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物业服务内容与要求 1.服务模式：酬金制 甲方承担费用范围：人力劳务费、管理费、法定税费等。 2.管理服务范围： 建筑物与构筑物（含机关食堂）、配套设施设备（含电梯维保费）、道路、空地、草坪（含树木补栽费）、环境卫生（含垃圾清运费）、秩序维护 3.岗位职责与要求（详见项目概况)。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最低配置人数：至少14名且年龄不超过60周岁，其中：水电工1名，绿化员1名，消防人员1名。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否</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否</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铜川市人民检察院机关</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达到合同约定内容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经营范围含物业服务）；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提交响应文件前六个月内其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供应商应提交的相关资格证明材料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要求提出物业服务定位、目标，详细列出服务工作计划，并按照标准化实施服务管理，针对本次采购项目采购内容及要求，对各响应商响应文件中，服务方案、服务目标、服务内容等完整性、科学性、合理性进行综合评审。方案全面，全面切合本项目实际情况，实施步骤清晰合理得（5-10]分； 方案不全面，未能全面切合本项目实际情况，实施步骤模糊得（1-4]分； 未提供方案或方案与本项目实际情况不符，无有效的实施步骤得0分。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管理制度与措施全面，切合本项目实际情况，内容清晰合理得（5-10]分； 管理制度与措施不全面，未能全面切合本项目实际情况，内容模糊得（1-4]分； 未提供管理制度与措施或管理制度与措施与本项目实际情况不符，无有效的实施步骤得0分。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项目人员配备情况：提供物业服务相关人员的上岗证书等证件，每提供一人得0.5分，满分7分。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针对本项目特点提供应急预案，预案内容包含恶劣天气、停水停电、电梯困人、火灾、水浸、防火，重大活动、紧急事件及临时性任务。 方案全面，全面切合本项目实际情况，实施步骤清晰合理得[5-10]分； 方案不全面，未能全面切合本项目实际情况，实施步骤模糊得[1-4]分； 未提供方案或方案与本项目实际情况不符，无有效的实施步骤得0分；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结合项目实施地点实际情况，根据响应商对本项目总体理解及认识，对响应商的自身服务优势、服务特点等内容由磋商小组综合评审后赋分。按其响应程度得0-7分。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根据响应商的服务优惠、服务承诺的合理性、便利性、可行性进行评价，由磋商小组综合评审后赋分。按其响应程度计0-7分。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针对物业整体服务工作中的常见问题进行梳理，具有的良好的解决方案 并及时向采购人提出合理化建议，由磋商小组综合评审后赋分。按其响应程度得0-7分。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提供近三年类似物业项目业绩，每提供一份中标通知书或合同协议书得 2分，最高 6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管理及培训</w:t>
            </w:r>
          </w:p>
        </w:tc>
        <w:tc>
          <w:tcPr>
            <w:tcW w:type="dxa" w:w="2492"/>
          </w:tcPr>
          <w:p>
            <w:pPr>
              <w:pStyle w:val="null3"/>
            </w:pPr>
            <w:r>
              <w:rPr>
                <w:rFonts w:ascii="仿宋_GB2312" w:hAnsi="仿宋_GB2312" w:cs="仿宋_GB2312" w:eastAsia="仿宋_GB2312"/>
              </w:rPr>
              <w:t>具体可行的人员组织安排，针对响应文件中的培训目标，培训内容，培训计划安排，按其响应程度得0-6分。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磋商报价得分=（评标基准价/磋商报价）×价格权值。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