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99AD8">
      <w:pPr>
        <w:pStyle w:val="5"/>
        <w:ind w:left="0" w:leftChars="0" w:right="1470"/>
        <w:jc w:val="center"/>
        <w:outlineLvl w:val="0"/>
        <w:rPr>
          <w:rStyle w:val="13"/>
          <w:rFonts w:hint="eastAsia" w:ascii="宋体" w:hAnsi="宋体" w:cs="宋体"/>
          <w:color w:val="auto"/>
          <w:sz w:val="28"/>
          <w:szCs w:val="21"/>
          <w:highlight w:val="none"/>
        </w:rPr>
      </w:pPr>
      <w:r>
        <w:rPr>
          <w:rStyle w:val="12"/>
          <w:rFonts w:hint="eastAsia" w:ascii="宋体" w:hAnsi="宋体" w:eastAsia="宋体" w:cs="宋体"/>
          <w:color w:val="auto"/>
          <w:sz w:val="28"/>
          <w:szCs w:val="28"/>
          <w:highlight w:val="none"/>
        </w:rPr>
        <w:t xml:space="preserve"> 合同文件</w:t>
      </w:r>
    </w:p>
    <w:p w14:paraId="72CA73A8">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本《审判法庭建设项目配套中央空调设备》（以下简称 “本合同”）由双方于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【签订地】订立：</w:t>
      </w:r>
    </w:p>
    <w:p w14:paraId="4EDEBF86">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p>
    <w:p w14:paraId="27D44F3A">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甲</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方：</w:t>
      </w:r>
      <w:r>
        <w:rPr>
          <w:rFonts w:hint="eastAsia" w:ascii="宋体" w:hAnsi="宋体" w:cs="宋体"/>
          <w:color w:val="auto"/>
          <w:sz w:val="21"/>
          <w:szCs w:val="21"/>
          <w:lang w:val="en-US" w:eastAsia="zh-CN"/>
        </w:rPr>
        <w:t xml:space="preserve"> </w:t>
      </w:r>
      <w:bookmarkStart w:id="1" w:name="_GoBack"/>
      <w:bookmarkEnd w:id="1"/>
    </w:p>
    <w:p w14:paraId="13286017">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地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址：【……】                 </w:t>
      </w:r>
    </w:p>
    <w:p w14:paraId="14C13DBB">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负</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人：【……】</w:t>
      </w:r>
    </w:p>
    <w:p w14:paraId="0C5B7CEF">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pacing w:val="12"/>
          <w:w w:val="100"/>
          <w:kern w:val="0"/>
          <w:sz w:val="21"/>
          <w:szCs w:val="21"/>
          <w:fitText w:val="1200" w:id="74273648"/>
        </w:rPr>
        <w:t xml:space="preserve">联  系  </w:t>
      </w:r>
      <w:r>
        <w:rPr>
          <w:rFonts w:hint="eastAsia" w:ascii="宋体" w:hAnsi="宋体" w:eastAsia="宋体" w:cs="宋体"/>
          <w:color w:val="auto"/>
          <w:spacing w:val="3"/>
          <w:w w:val="100"/>
          <w:kern w:val="0"/>
          <w:sz w:val="21"/>
          <w:szCs w:val="21"/>
          <w:fitText w:val="1200" w:id="74273648"/>
        </w:rPr>
        <w:t>人</w:t>
      </w:r>
      <w:r>
        <w:rPr>
          <w:rFonts w:hint="eastAsia" w:ascii="宋体" w:hAnsi="宋体" w:eastAsia="宋体" w:cs="宋体"/>
          <w:color w:val="auto"/>
          <w:sz w:val="21"/>
          <w:szCs w:val="21"/>
        </w:rPr>
        <w:t xml:space="preserve">：【……】                  </w:t>
      </w:r>
    </w:p>
    <w:p w14:paraId="3A53587E">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pacing w:val="60"/>
          <w:kern w:val="0"/>
          <w:sz w:val="21"/>
          <w:szCs w:val="21"/>
          <w:fitText w:val="1200" w:id="2043706715"/>
        </w:rPr>
        <w:t>联系电</w:t>
      </w:r>
      <w:r>
        <w:rPr>
          <w:rFonts w:hint="eastAsia" w:ascii="宋体" w:hAnsi="宋体" w:eastAsia="宋体" w:cs="宋体"/>
          <w:color w:val="auto"/>
          <w:spacing w:val="0"/>
          <w:kern w:val="0"/>
          <w:sz w:val="21"/>
          <w:szCs w:val="21"/>
          <w:fitText w:val="1200" w:id="2043706715"/>
        </w:rPr>
        <w:t>话</w:t>
      </w:r>
      <w:r>
        <w:rPr>
          <w:rFonts w:hint="eastAsia" w:ascii="宋体" w:hAnsi="宋体" w:eastAsia="宋体" w:cs="宋体"/>
          <w:color w:val="auto"/>
          <w:sz w:val="21"/>
          <w:szCs w:val="21"/>
        </w:rPr>
        <w:t xml:space="preserve">：【……】                       </w:t>
      </w:r>
    </w:p>
    <w:p w14:paraId="351E6A0F">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p>
    <w:p w14:paraId="41D49535">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      方：【……】</w:t>
      </w:r>
    </w:p>
    <w:p w14:paraId="5ADA6028">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      址：【……】</w:t>
      </w:r>
    </w:p>
    <w:p w14:paraId="1484B1EA">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p>
    <w:p w14:paraId="24101EEB">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联  系  人：【……】                  </w:t>
      </w:r>
    </w:p>
    <w:p w14:paraId="1897533F">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pacing w:val="60"/>
          <w:kern w:val="0"/>
          <w:sz w:val="21"/>
          <w:szCs w:val="21"/>
          <w:fitText w:val="1200" w:id="934243815"/>
        </w:rPr>
        <w:t>联系电</w:t>
      </w:r>
      <w:r>
        <w:rPr>
          <w:rFonts w:hint="eastAsia" w:ascii="宋体" w:hAnsi="宋体" w:eastAsia="宋体" w:cs="宋体"/>
          <w:color w:val="auto"/>
          <w:spacing w:val="0"/>
          <w:kern w:val="0"/>
          <w:sz w:val="21"/>
          <w:szCs w:val="21"/>
          <w:fitText w:val="1200" w:id="934243815"/>
        </w:rPr>
        <w:t>话</w:t>
      </w:r>
      <w:r>
        <w:rPr>
          <w:rFonts w:hint="eastAsia" w:ascii="宋体" w:hAnsi="宋体" w:eastAsia="宋体" w:cs="宋体"/>
          <w:color w:val="auto"/>
          <w:sz w:val="21"/>
          <w:szCs w:val="21"/>
        </w:rPr>
        <w:t>：【……】 </w:t>
      </w:r>
    </w:p>
    <w:p w14:paraId="2378EDAE">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p>
    <w:p w14:paraId="11034163">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甲乙双方本着平等合作，互惠互利的原则，经友好协商，按照《中华人民共和国民法典》等有关法律、法规的规定，就</w:t>
      </w:r>
      <w:r>
        <w:rPr>
          <w:rFonts w:hint="eastAsia" w:ascii="宋体" w:hAnsi="宋体" w:cs="宋体"/>
          <w:color w:val="auto"/>
          <w:sz w:val="21"/>
          <w:szCs w:val="21"/>
          <w:u w:val="single"/>
          <w:lang w:eastAsia="zh-CN"/>
        </w:rPr>
        <w:t>审判法庭建设项目配套中央空调设备</w:t>
      </w:r>
      <w:r>
        <w:rPr>
          <w:rFonts w:hint="eastAsia" w:ascii="宋体" w:hAnsi="宋体" w:eastAsia="宋体" w:cs="宋体"/>
          <w:color w:val="auto"/>
          <w:sz w:val="21"/>
          <w:szCs w:val="21"/>
        </w:rPr>
        <w:t>采购事宜达成本协议，以兹共同遵守。</w:t>
      </w:r>
    </w:p>
    <w:p w14:paraId="756CB946">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以上主体单称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一方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双方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14:paraId="7444B869">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合同标的</w:t>
      </w:r>
    </w:p>
    <w:p w14:paraId="20A496EE">
      <w:pPr>
        <w:pStyle w:val="3"/>
        <w:keepNext w:val="0"/>
        <w:keepLines w:val="0"/>
        <w:pageBreakBefore w:val="0"/>
        <w:widowControl w:val="0"/>
        <w:numPr>
          <w:ilvl w:val="1"/>
          <w:numId w:val="1"/>
        </w:numPr>
        <w:tabs>
          <w:tab w:val="left" w:pos="720"/>
        </w:tabs>
        <w:kinsoku/>
        <w:wordWrap/>
        <w:overflowPunct/>
        <w:topLinePunct w:val="0"/>
        <w:autoSpaceDE/>
        <w:autoSpaceDN/>
        <w:bidi w:val="0"/>
        <w:adjustRightInd/>
        <w:snapToGrid w:val="0"/>
        <w:spacing w:beforeAutospacing="0" w:after="156" w:line="360" w:lineRule="auto"/>
        <w:ind w:left="0" w:hanging="567"/>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合同实施范围</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u w:val="single"/>
          <w:lang w:val="en-US" w:eastAsia="zh-CN"/>
        </w:rPr>
        <w:t xml:space="preserve">                                                  </w:t>
      </w:r>
    </w:p>
    <w:p w14:paraId="1B0FA704">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合同价款和支付条款</w:t>
      </w:r>
    </w:p>
    <w:p w14:paraId="5F04333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本合同总价款（含税）：大写人民币</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元，小写¥</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。其中不含税金额为人民币</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 xml:space="preserve">元（小写：¥ </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），税金金额为人民币</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元（小写：¥</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）。合同分项价款明细清单请见第1.1条。</w:t>
      </w:r>
    </w:p>
    <w:p w14:paraId="4D57D687">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无论何种原因，未经甲方书面同意，合同单价及合同总价款的不含税价格在合同期间保持不变，但乙方调低价格除外。合同单价及合同总价款中包括但不限于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包装费、安装费、调试费、培训所需费用、原厂质保费用等</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及税金（包括税率为</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%的增值税），本合同约定的价格为包含所有税收的含税价格。</w:t>
      </w:r>
    </w:p>
    <w:p w14:paraId="68B7E38E">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乙方因履行本合同所发生的交通、食宿等费用由乙方自行承担。</w:t>
      </w:r>
    </w:p>
    <w:p w14:paraId="1113865B">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除合同总价款以外，就乙方履行本合同中全部的责任和义务，甲方无需再向乙方支付任何其他费用。</w:t>
      </w:r>
    </w:p>
    <w:p w14:paraId="0D233071">
      <w:pPr>
        <w:keepNext w:val="0"/>
        <w:keepLines w:val="0"/>
        <w:pageBreakBefore w:val="0"/>
        <w:kinsoku/>
        <w:wordWrap/>
        <w:overflowPunct/>
        <w:topLinePunct w:val="0"/>
        <w:autoSpaceDE/>
        <w:autoSpaceDN/>
        <w:bidi w:val="0"/>
        <w:adjustRightInd w:val="0"/>
        <w:snapToGrid w:val="0"/>
        <w:spacing w:before="220" w:beforeLines="50" w:line="300" w:lineRule="auto"/>
        <w:textAlignment w:val="auto"/>
        <w:rPr>
          <w:rFonts w:hint="eastAsia" w:ascii="宋体" w:hAnsi="宋体" w:eastAsia="宋体" w:cs="宋体"/>
          <w:b w:val="0"/>
          <w:bCs w:val="0"/>
          <w:color w:val="auto"/>
          <w:sz w:val="21"/>
          <w:szCs w:val="21"/>
        </w:rPr>
      </w:pPr>
      <w:r>
        <w:rPr>
          <w:rFonts w:hint="eastAsia" w:ascii="宋体" w:hAnsi="宋体" w:eastAsia="宋体" w:cs="宋体"/>
          <w:color w:val="auto"/>
          <w:sz w:val="21"/>
          <w:szCs w:val="21"/>
        </w:rPr>
        <w:t>付款安排如下：</w:t>
      </w:r>
    </w:p>
    <w:p w14:paraId="21DA7D7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乙方应在付款标志日起的</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个工作日提前向甲方开具对应金额的中华人民共和国大陆地区合法有效的增值税专用发票（税率为</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%），并须提交通过甲方验收的确认文件。甲方收到乙方提交的增值税专用发票和确认文件是甲方付款的前提条件。</w:t>
      </w:r>
    </w:p>
    <w:p w14:paraId="5F24D4BB">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甲方开票信息：</w:t>
      </w:r>
    </w:p>
    <w:p w14:paraId="4BC07272">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lang w:val="en-US" w:eastAsia="zh-CN"/>
        </w:rPr>
      </w:pPr>
      <w:r>
        <w:rPr>
          <w:rFonts w:hint="eastAsia" w:ascii="宋体" w:hAnsi="宋体" w:eastAsia="宋体" w:cs="宋体"/>
          <w:bCs w:val="0"/>
          <w:color w:val="auto"/>
          <w:sz w:val="21"/>
          <w:szCs w:val="21"/>
        </w:rPr>
        <w:t>户  名：</w:t>
      </w:r>
      <w:r>
        <w:rPr>
          <w:rFonts w:hint="eastAsia" w:ascii="宋体" w:hAnsi="宋体" w:cs="宋体"/>
          <w:bCs w:val="0"/>
          <w:color w:val="auto"/>
          <w:sz w:val="21"/>
          <w:szCs w:val="21"/>
          <w:lang w:val="en-US" w:eastAsia="zh-CN"/>
        </w:rPr>
        <w:t xml:space="preserve"> </w:t>
      </w:r>
    </w:p>
    <w:p w14:paraId="24AA8488">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开户行：</w:t>
      </w:r>
    </w:p>
    <w:p w14:paraId="2AC28CEC">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账  号：</w:t>
      </w:r>
    </w:p>
    <w:p w14:paraId="7A2D222A">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纳税人识别号：</w:t>
      </w:r>
    </w:p>
    <w:p w14:paraId="4E8DA635">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电  话：</w:t>
      </w:r>
    </w:p>
    <w:p w14:paraId="32C04F60">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 xml:space="preserve">地  址： </w:t>
      </w:r>
    </w:p>
    <w:p w14:paraId="7219C222">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乙方收取合同价款的指定账户信息如下：</w:t>
      </w:r>
    </w:p>
    <w:p w14:paraId="7D8855CC">
      <w:pPr>
        <w:keepNext w:val="0"/>
        <w:keepLines w:val="0"/>
        <w:pageBreakBefore w:val="0"/>
        <w:kinsoku/>
        <w:wordWrap/>
        <w:overflowPunct/>
        <w:topLinePunct w:val="0"/>
        <w:autoSpaceDE/>
        <w:autoSpaceDN/>
        <w:bidi w:val="0"/>
        <w:adjustRightInd/>
        <w:snapToGrid w:val="0"/>
        <w:spacing w:beforeAutospacing="0" w:after="200" w:line="300" w:lineRule="auto"/>
        <w:ind w:left="680" w:leftChars="266" w:hanging="121" w:hangingChars="5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开户名： </w:t>
      </w:r>
    </w:p>
    <w:p w14:paraId="514AD44F">
      <w:pPr>
        <w:keepNext w:val="0"/>
        <w:keepLines w:val="0"/>
        <w:pageBreakBefore w:val="0"/>
        <w:kinsoku/>
        <w:wordWrap/>
        <w:overflowPunct/>
        <w:topLinePunct w:val="0"/>
        <w:autoSpaceDE/>
        <w:autoSpaceDN/>
        <w:bidi w:val="0"/>
        <w:adjustRightInd/>
        <w:snapToGrid w:val="0"/>
        <w:spacing w:beforeAutospacing="0" w:after="200" w:line="300" w:lineRule="auto"/>
        <w:ind w:left="680" w:leftChars="266" w:hanging="121" w:hangingChars="5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账户号：</w:t>
      </w:r>
    </w:p>
    <w:p w14:paraId="547B4F36">
      <w:pPr>
        <w:keepNext w:val="0"/>
        <w:keepLines w:val="0"/>
        <w:pageBreakBefore w:val="0"/>
        <w:kinsoku/>
        <w:wordWrap/>
        <w:overflowPunct/>
        <w:topLinePunct w:val="0"/>
        <w:autoSpaceDE/>
        <w:autoSpaceDN/>
        <w:bidi w:val="0"/>
        <w:adjustRightInd/>
        <w:snapToGrid w:val="0"/>
        <w:spacing w:beforeAutospacing="0" w:after="200" w:line="300" w:lineRule="auto"/>
        <w:ind w:left="680" w:leftChars="266" w:hanging="121" w:hangingChars="5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开户行名称： </w:t>
      </w:r>
    </w:p>
    <w:p w14:paraId="6C2C1AFE">
      <w:pPr>
        <w:keepNext w:val="0"/>
        <w:keepLines w:val="0"/>
        <w:pageBreakBefore w:val="0"/>
        <w:kinsoku/>
        <w:wordWrap/>
        <w:overflowPunct/>
        <w:topLinePunct w:val="0"/>
        <w:autoSpaceDE/>
        <w:autoSpaceDN/>
        <w:bidi w:val="0"/>
        <w:adjustRightInd/>
        <w:snapToGrid w:val="0"/>
        <w:spacing w:beforeAutospacing="0" w:after="200" w:line="300" w:lineRule="auto"/>
        <w:ind w:left="680" w:leftChars="266" w:hanging="121" w:hangingChars="5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开户行地址：</w:t>
      </w:r>
    </w:p>
    <w:p w14:paraId="69A337DF">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乙方账户信息如有变更，应在变更前至少（5）个工作日书面通知甲方，否则甲方不承担因账户变更导致的任何责任，因此给乙方造成的任何损失由乙方自行承担。</w:t>
      </w:r>
    </w:p>
    <w:p w14:paraId="0983F0ED">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包装、运输、交货</w:t>
      </w:r>
    </w:p>
    <w:p w14:paraId="36EC503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该根据产品的特性及甲方要求，对产品进行妥善包装并添加标签，包装和添加标签的方式应当符合相关的最新国家标准、行业标准或合同约定能够满足中转运输和仓储的要求，并适于长途运输和反复装卸。乙方应采取防潮、防雨、防锈、防震、防腐等保护措施，以保证货物安全无损地到达安装现场。除非双方已经事先以书面形式约定，否则甲方不承担包装的费用也不将包装物退还。</w:t>
      </w:r>
    </w:p>
    <w:p w14:paraId="441C6E01">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乙方应自合同生效后</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个工作日内，将合同项下的全部产品以</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方式运输到甲方指定地点，甲方可根据需要调整供货时间。乙方应于交货同时提供本合同所要求的产品相关技术文件，并于到货前</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小时将到货产品名称、型号、数量、外形尺寸、单重及注意事项等，以书面形式通知甲方。</w:t>
      </w:r>
    </w:p>
    <w:p w14:paraId="6BE07B1D">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甲方的收货信息如下：【……】</w:t>
      </w:r>
    </w:p>
    <w:p w14:paraId="2347ABDF">
      <w:pPr>
        <w:keepNext w:val="0"/>
        <w:keepLines w:val="0"/>
        <w:pageBreakBefore w:val="0"/>
        <w:kinsoku/>
        <w:wordWrap/>
        <w:overflowPunct/>
        <w:topLinePunct w:val="0"/>
        <w:autoSpaceDE/>
        <w:autoSpaceDN/>
        <w:bidi w:val="0"/>
        <w:adjustRightInd/>
        <w:snapToGrid w:val="0"/>
        <w:spacing w:beforeAutospacing="0" w:line="300" w:lineRule="auto"/>
        <w:ind w:firstLine="420" w:firstLineChars="200"/>
        <w:textAlignment w:val="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 xml:space="preserve">交货地址：【……】    </w:t>
      </w:r>
    </w:p>
    <w:p w14:paraId="26FB0975">
      <w:pPr>
        <w:keepNext w:val="0"/>
        <w:keepLines w:val="0"/>
        <w:pageBreakBefore w:val="0"/>
        <w:widowControl w:val="0"/>
        <w:kinsoku/>
        <w:wordWrap/>
        <w:overflowPunct/>
        <w:topLinePunct w:val="0"/>
        <w:autoSpaceDE/>
        <w:autoSpaceDN/>
        <w:bidi w:val="0"/>
        <w:adjustRightInd/>
        <w:snapToGrid w:val="0"/>
        <w:spacing w:beforeAutospacing="0" w:after="200" w:line="30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bCs w:val="0"/>
          <w:color w:val="auto"/>
          <w:sz w:val="21"/>
          <w:szCs w:val="21"/>
        </w:rPr>
        <w:t>收 货 人：</w:t>
      </w:r>
      <w:r>
        <w:rPr>
          <w:rFonts w:hint="eastAsia" w:ascii="宋体" w:hAnsi="宋体" w:eastAsia="宋体" w:cs="宋体"/>
          <w:color w:val="auto"/>
          <w:sz w:val="21"/>
          <w:szCs w:val="21"/>
        </w:rPr>
        <w:t>【……】</w:t>
      </w:r>
    </w:p>
    <w:p w14:paraId="5D03AAB3">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除非双方已经事先以书面形式约定，否则甲方不承担运输的费用。</w:t>
      </w:r>
    </w:p>
    <w:p w14:paraId="5FD367F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在本合同项下交付的产品、提供的服务应符合相关的最新国家标准、行业标准以及本合同（包括本合同附件）约定的标准和/或要求（以较高者为准）。乙方在本合同项下交付的产品、提供的服务应能够满足甲方要求，不存在设计、材料或工艺上的缺陷和瑕疵，并且所有产品均应是未开封的全新产品。</w:t>
      </w:r>
    </w:p>
    <w:p w14:paraId="2B33ACEE">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乙方应确保其已经就本合同项下交付的产品投保了相应的产品责任险，并向甲方提供已经投保的证明。</w:t>
      </w:r>
    </w:p>
    <w:p w14:paraId="7237ACA6">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如因乙方提供的产品的质量问题导致甲方拒绝收货的，由乙方自行承担相关损失，不视为甲方违约。</w:t>
      </w:r>
    </w:p>
    <w:p w14:paraId="1BB6C87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在乙方将甲方所订购的全部货物在交付至甲方指定的交货地点及收货人并收到甲方签署的到货证明前，产品的毁损、灭失风险由乙方承担。</w:t>
      </w:r>
    </w:p>
    <w:p w14:paraId="185FDAE9">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无论甲方是否付款，还是产品的所有权和风险转移到了甲方，都不能等同于甲方已经认可了产品的质量、数量或服务，也不表示甲方对根据本合同及附件所享有的任何形式的权利的放弃。</w:t>
      </w:r>
    </w:p>
    <w:p w14:paraId="29E8ED9A">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安装、调试、验收</w:t>
      </w:r>
    </w:p>
    <w:p w14:paraId="29E9A15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产品运达甲方指定地点后，甲方对产品数量清点和包装查验，查验合格的，甲方应签署到货证明。为免疑义，甲方对产品外包装检验合格不代表对乙方产品质量验收合格。若发现产品与装箱单不符，乙方负责在甲方指定期限内予以补齐或收回，因此产生的所有费用由乙方自行承担。</w:t>
      </w:r>
    </w:p>
    <w:p w14:paraId="23AB96C1">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乙方负责产品的安装及调试工作，并负责更换安装调试过程中所有损坏零部件（如有）。整个安装调试工作应在产品到货后</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个工作日内完成。甲方在产品安装调试过程中提供必要的配合与协助。产品在安装、调试中，安全管理及安全事故的所有责任由乙方承担。</w:t>
      </w:r>
    </w:p>
    <w:p w14:paraId="6B6848A7">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验收分为初步验收和试运行/试使用验收两部分。产品调试运行/使用后，甲方和乙方应共同对产品进行初步验收，以确保产品符合甲方的要求及相关标准，能够正常运行。产品经初步验收合格后，由双方共同签署产品验收合格单。</w:t>
      </w:r>
    </w:p>
    <w:p w14:paraId="6A15C3A4">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产品正常运行/使用</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自然日/月（“试运行/试使用期间”）后，甲方和乙方共同签署试运行/试使用验收报告。如果试运行/试使用过程中，产品出现性能或质量方面的问题，则由乙方修理；修理完成后，应重新开始计算试运行/试使用期间；如果问题无法解决，乙方应负责换货。</w:t>
      </w:r>
    </w:p>
    <w:p w14:paraId="3BA84E8B">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本合同项下的产品最晚应于交付之日起</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个工作日内通过初步验收；且最晚应于初步验收合格后</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个工作日内通过试运行/试使用验收。</w:t>
      </w:r>
    </w:p>
    <w:p w14:paraId="42CD2F91">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产品验收标准按产品说明书、乙方承诺的质量标准和双方特殊约定执行。</w:t>
      </w:r>
    </w:p>
    <w:p w14:paraId="67ECDF80">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培训</w:t>
      </w:r>
    </w:p>
    <w:p w14:paraId="3753C169">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在产品交付后，乙方负责对甲方指定人员进行为期</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个工作日的培训，使操作人员基本达到：能独立进行产品的操作使用，且能独立进行产品的日常维护和常见故障的解决。培训如发生费用，由乙方承担。</w:t>
      </w:r>
    </w:p>
    <w:p w14:paraId="7BE15290">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保修与维护</w:t>
      </w:r>
    </w:p>
    <w:p w14:paraId="5C81B5BC">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200" w:afterLines="0"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产品保修期为</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月/年，自双方共同签署试运行/试使用验收报告次日起算。</w:t>
      </w:r>
    </w:p>
    <w:p w14:paraId="2403209A">
      <w:pPr>
        <w:pStyle w:val="3"/>
        <w:keepNext w:val="0"/>
        <w:keepLines w:val="0"/>
        <w:pageBreakBefore w:val="0"/>
        <w:numPr>
          <w:ilvl w:val="1"/>
          <w:numId w:val="1"/>
        </w:numPr>
        <w:kinsoku/>
        <w:wordWrap/>
        <w:overflowPunct/>
        <w:topLinePunct w:val="0"/>
        <w:autoSpaceDE/>
        <w:autoSpaceDN/>
        <w:bidi w:val="0"/>
        <w:adjustRightInd/>
        <w:snapToGrid w:val="0"/>
        <w:spacing w:beforeAutospacing="0" w:after="200" w:afterLines="0"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乙方承诺按照本合同的约定，在产品保修期内免费为甲方提供</w:t>
      </w:r>
      <w:r>
        <w:rPr>
          <w:rFonts w:hint="eastAsia" w:ascii="宋体" w:hAnsi="宋体" w:eastAsia="宋体" w:cs="宋体"/>
          <w:b w:val="0"/>
          <w:bCs w:val="0"/>
          <w:color w:val="auto"/>
          <w:kern w:val="2"/>
          <w:sz w:val="21"/>
          <w:szCs w:val="21"/>
          <w:lang w:val="en-US" w:eastAsia="zh-CN" w:bidi="ar-SA"/>
        </w:rPr>
        <w:t>【原厂】</w:t>
      </w:r>
      <w:r>
        <w:rPr>
          <w:rFonts w:hint="eastAsia" w:ascii="宋体" w:hAnsi="宋体" w:eastAsia="宋体" w:cs="宋体"/>
          <w:b w:val="0"/>
          <w:bCs w:val="0"/>
          <w:color w:val="auto"/>
          <w:sz w:val="21"/>
          <w:szCs w:val="21"/>
        </w:rPr>
        <w:t>技术支持和维保服务，提供热线支持服务的时间是：每周(  7  )天×(  24  )小时。</w:t>
      </w:r>
    </w:p>
    <w:p w14:paraId="2C7EBC08">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200" w:afterLines="0" w:line="300" w:lineRule="auto"/>
        <w:ind w:left="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rPr>
        <w:t>乙方向甲方提供的产品服务及工作内容包括但不限于：</w:t>
      </w:r>
    </w:p>
    <w:p w14:paraId="26F14278">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200" w:afterLines="0"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产品保修期内，乙方保证在产品出现故障和缺陷时，或接到甲方提出的技术服务要求后</w:t>
      </w:r>
      <w:r>
        <w:rPr>
          <w:rFonts w:hint="eastAsia" w:ascii="宋体" w:hAnsi="宋体" w:eastAsia="宋体" w:cs="宋体"/>
          <w:b w:val="0"/>
          <w:bCs w:val="0"/>
          <w:color w:val="auto"/>
          <w:kern w:val="2"/>
          <w:sz w:val="21"/>
          <w:szCs w:val="21"/>
          <w:lang w:val="en-US" w:eastAsia="zh-CN" w:bidi="ar-SA"/>
        </w:rPr>
        <w:t>【0.5】</w:t>
      </w:r>
      <w:r>
        <w:rPr>
          <w:rFonts w:hint="eastAsia" w:ascii="宋体" w:hAnsi="宋体" w:eastAsia="宋体" w:cs="宋体"/>
          <w:b w:val="0"/>
          <w:bCs w:val="0"/>
          <w:color w:val="auto"/>
          <w:sz w:val="21"/>
          <w:szCs w:val="21"/>
        </w:rPr>
        <w:t>小时内予以响应，如甲方有要求或必要时，乙方应在接到甲方通知后</w:t>
      </w:r>
      <w:r>
        <w:rPr>
          <w:rFonts w:hint="eastAsia" w:ascii="宋体" w:hAnsi="宋体" w:eastAsia="宋体" w:cs="宋体"/>
          <w:b w:val="0"/>
          <w:bCs w:val="0"/>
          <w:color w:val="auto"/>
          <w:kern w:val="2"/>
          <w:sz w:val="21"/>
          <w:szCs w:val="21"/>
          <w:lang w:val="en-US" w:eastAsia="zh-CN" w:bidi="ar-SA"/>
        </w:rPr>
        <w:t>【2】小</w:t>
      </w:r>
      <w:r>
        <w:rPr>
          <w:rFonts w:hint="eastAsia" w:ascii="宋体" w:hAnsi="宋体" w:eastAsia="宋体" w:cs="宋体"/>
          <w:b w:val="0"/>
          <w:bCs w:val="0"/>
          <w:color w:val="auto"/>
          <w:sz w:val="21"/>
          <w:szCs w:val="21"/>
        </w:rPr>
        <w:t>时内派员或协调厂商技术人员至甲方现场免费提供现场指导；所有维保问题均在接到甲方用户维保申请后</w:t>
      </w:r>
      <w:r>
        <w:rPr>
          <w:rFonts w:hint="eastAsia" w:ascii="宋体" w:hAnsi="宋体" w:eastAsia="宋体" w:cs="宋体"/>
          <w:b w:val="0"/>
          <w:bCs w:val="0"/>
          <w:color w:val="auto"/>
          <w:kern w:val="2"/>
          <w:sz w:val="21"/>
          <w:szCs w:val="21"/>
          <w:lang w:val="en-US" w:eastAsia="zh-CN" w:bidi="ar-SA"/>
        </w:rPr>
        <w:t>【48】小</w:t>
      </w:r>
      <w:r>
        <w:rPr>
          <w:rFonts w:hint="eastAsia" w:ascii="宋体" w:hAnsi="宋体" w:eastAsia="宋体" w:cs="宋体"/>
          <w:b w:val="0"/>
          <w:bCs w:val="0"/>
          <w:color w:val="auto"/>
          <w:sz w:val="21"/>
          <w:szCs w:val="21"/>
        </w:rPr>
        <w:t>时内予以解决，因此产生的费用由乙方承担。</w:t>
      </w:r>
    </w:p>
    <w:p w14:paraId="648DA035">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保修期内产品经维修或更换后仍无法达到质量标准，甲方有权退货，乙方应当承担由此为甲方造成的全部损失。</w:t>
      </w:r>
    </w:p>
    <w:p w14:paraId="7B40CC9B">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保修期过后，乙方对产品的维修、更换服务收取成本费，只要甲方以书面形式提出维修、更换要求，乙方应在</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日内给予书面答复，并提供相应的维修或更换服务。</w:t>
      </w:r>
    </w:p>
    <w:p w14:paraId="61E6D0B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乙方保证，无论是否在产品保修期内，当发现其交付的产品或服务中存在安全缺陷、漏洞等风险时，应立即</w:t>
      </w:r>
      <w:r>
        <w:rPr>
          <w:rFonts w:hint="eastAsia" w:ascii="宋体" w:hAnsi="宋体" w:eastAsia="宋体" w:cs="宋体"/>
          <w:b w:val="0"/>
          <w:bCs w:val="0"/>
          <w:color w:val="auto"/>
          <w:kern w:val="2"/>
          <w:sz w:val="21"/>
          <w:szCs w:val="21"/>
          <w:lang w:val="en-US" w:eastAsia="zh-CN" w:bidi="ar-SA"/>
        </w:rPr>
        <w:t>（</w:t>
      </w:r>
      <w:r>
        <w:rPr>
          <w:rFonts w:hint="eastAsia" w:ascii="宋体" w:hAnsi="宋体" w:eastAsia="宋体" w:cs="宋体"/>
          <w:b w:val="0"/>
          <w:bCs w:val="0"/>
          <w:color w:val="auto"/>
          <w:kern w:val="2"/>
          <w:sz w:val="21"/>
          <w:szCs w:val="21"/>
          <w:u w:val="single"/>
          <w:lang w:val="en-US" w:eastAsia="zh-CN" w:bidi="ar-SA"/>
        </w:rPr>
        <w:t xml:space="preserve">     </w:t>
      </w:r>
      <w:r>
        <w:rPr>
          <w:rFonts w:hint="eastAsia" w:ascii="宋体" w:hAnsi="宋体" w:eastAsia="宋体" w:cs="宋体"/>
          <w:b w:val="0"/>
          <w:bCs w:val="0"/>
          <w:color w:val="auto"/>
          <w:kern w:val="2"/>
          <w:sz w:val="21"/>
          <w:szCs w:val="21"/>
          <w:lang w:val="en-US" w:eastAsia="zh-CN" w:bidi="ar-SA"/>
        </w:rPr>
        <w:t>个小时内）</w:t>
      </w:r>
      <w:r>
        <w:rPr>
          <w:rFonts w:hint="eastAsia" w:ascii="宋体" w:hAnsi="宋体" w:eastAsia="宋体" w:cs="宋体"/>
          <w:b w:val="0"/>
          <w:bCs w:val="0"/>
          <w:color w:val="auto"/>
          <w:sz w:val="21"/>
          <w:szCs w:val="21"/>
        </w:rPr>
        <w:t>采取补救措施，并在</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个小时内及时书面告知甲方并根据相关规定向有关主管部门报告。</w:t>
      </w:r>
    </w:p>
    <w:p w14:paraId="03289027">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双方的权利义务</w:t>
      </w:r>
    </w:p>
    <w:p w14:paraId="64D8564C">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sz w:val="21"/>
          <w:szCs w:val="21"/>
        </w:rPr>
      </w:pPr>
      <w:r>
        <w:rPr>
          <w:rFonts w:hint="eastAsia" w:ascii="宋体" w:hAnsi="宋体" w:eastAsia="宋体" w:cs="宋体"/>
          <w:b w:val="0"/>
          <w:bCs w:val="0"/>
          <w:snapToGrid w:val="0"/>
          <w:color w:val="auto"/>
          <w:sz w:val="21"/>
          <w:szCs w:val="21"/>
        </w:rPr>
        <w:t>甲方将按照本合同约定向乙方支付相关费用。</w:t>
      </w:r>
    </w:p>
    <w:p w14:paraId="606C8F07">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kern w:val="0"/>
          <w:sz w:val="21"/>
          <w:szCs w:val="21"/>
        </w:rPr>
      </w:pPr>
      <w:r>
        <w:rPr>
          <w:rFonts w:hint="eastAsia" w:ascii="宋体" w:hAnsi="宋体" w:eastAsia="宋体" w:cs="宋体"/>
          <w:b w:val="0"/>
          <w:bCs w:val="0"/>
          <w:snapToGrid w:val="0"/>
          <w:color w:val="auto"/>
          <w:kern w:val="0"/>
          <w:sz w:val="21"/>
          <w:szCs w:val="21"/>
        </w:rPr>
        <w:t>乙方系依法登记注册并合法存续的企业法人，有权订立本合同，有权行使和履行其在本合同项下的权利和义务，并已有效地采取了所有必要的行动，以签署本合同并履行本合同项下的义务。</w:t>
      </w:r>
    </w:p>
    <w:p w14:paraId="765CED8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kern w:val="0"/>
          <w:sz w:val="21"/>
          <w:szCs w:val="21"/>
        </w:rPr>
      </w:pPr>
      <w:r>
        <w:rPr>
          <w:rFonts w:hint="eastAsia" w:ascii="宋体" w:hAnsi="宋体" w:eastAsia="宋体" w:cs="宋体"/>
          <w:b w:val="0"/>
          <w:bCs w:val="0"/>
          <w:snapToGrid w:val="0"/>
          <w:color w:val="auto"/>
          <w:kern w:val="0"/>
          <w:sz w:val="21"/>
          <w:szCs w:val="21"/>
        </w:rPr>
        <w:t>乙方签署和履行本合同系其真实的意思表示，并经过所有必需的合法授权，上述授权及授权项下的签署和履行行为未违背乙方的公司章程或其他组织性文件或任何对乙方有约束力的法律、司法裁决、合同、承诺或安排，乙方为签署和履行本合同所需的手续均已合法地办理完毕并具有法律效力。特别地，乙方已经取得签订和履行本合同所需的一切内外部有关批准、许可、备案、登记以及第三方同意；如在履行本合同的过程中，因法律的变更乙方还应另行获得其他批准、许可、备案、登记以及第三方同意和/或履行其他手续的，乙方承诺及时获得该等批准、许可、备案、登记以及第三方同意和/或履行相关手续。</w:t>
      </w:r>
    </w:p>
    <w:p w14:paraId="7EEE6278">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kern w:val="0"/>
          <w:sz w:val="21"/>
          <w:szCs w:val="21"/>
        </w:rPr>
      </w:pPr>
      <w:r>
        <w:rPr>
          <w:rFonts w:hint="eastAsia" w:ascii="宋体" w:hAnsi="宋体" w:eastAsia="宋体" w:cs="宋体"/>
          <w:b w:val="0"/>
          <w:bCs w:val="0"/>
          <w:snapToGrid w:val="0"/>
          <w:color w:val="auto"/>
          <w:kern w:val="0"/>
          <w:sz w:val="21"/>
          <w:szCs w:val="21"/>
        </w:rPr>
        <w:t>乙方向甲方提供的所有文件、资料、报表和凭证等是真实、准确、完整和有效的，不存在任何误导性陈述、虚假记载或重大遗漏。</w:t>
      </w:r>
    </w:p>
    <w:p w14:paraId="1EAA3FF5">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kern w:val="0"/>
          <w:sz w:val="21"/>
          <w:szCs w:val="21"/>
        </w:rPr>
      </w:pPr>
      <w:r>
        <w:rPr>
          <w:rFonts w:hint="eastAsia" w:ascii="宋体" w:hAnsi="宋体" w:eastAsia="宋体" w:cs="宋体"/>
          <w:b w:val="0"/>
          <w:bCs w:val="0"/>
          <w:snapToGrid w:val="0"/>
          <w:color w:val="auto"/>
          <w:kern w:val="0"/>
          <w:sz w:val="21"/>
          <w:szCs w:val="21"/>
        </w:rPr>
        <w:t xml:space="preserve">乙方未隐瞒任何已发生或可能发生的有可能使甲方不同意签署本合同的情况。 </w:t>
      </w:r>
    </w:p>
    <w:p w14:paraId="2DFACF0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kern w:val="0"/>
          <w:sz w:val="21"/>
          <w:szCs w:val="21"/>
        </w:rPr>
      </w:pPr>
      <w:r>
        <w:rPr>
          <w:rFonts w:hint="eastAsia" w:ascii="宋体" w:hAnsi="宋体" w:eastAsia="宋体" w:cs="宋体"/>
          <w:b w:val="0"/>
          <w:bCs w:val="0"/>
          <w:snapToGrid w:val="0"/>
          <w:color w:val="auto"/>
          <w:kern w:val="0"/>
          <w:sz w:val="21"/>
          <w:szCs w:val="21"/>
        </w:rPr>
        <w:t>乙方确保其在履行本合同的过程中应当遵守所有适用法律、法规、规范性文件以及其他适用监管规定的要求。</w:t>
      </w:r>
    </w:p>
    <w:p w14:paraId="64FEAA3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snapToGrid w:val="0"/>
          <w:color w:val="auto"/>
          <w:sz w:val="21"/>
          <w:szCs w:val="21"/>
        </w:rPr>
      </w:pPr>
      <w:r>
        <w:rPr>
          <w:rFonts w:hint="eastAsia" w:ascii="宋体" w:hAnsi="宋体" w:eastAsia="宋体" w:cs="宋体"/>
          <w:b w:val="0"/>
          <w:bCs w:val="0"/>
          <w:snapToGrid w:val="0"/>
          <w:color w:val="auto"/>
          <w:kern w:val="0"/>
          <w:sz w:val="21"/>
          <w:szCs w:val="21"/>
        </w:rPr>
        <w:t xml:space="preserve">乙方应当按照本合同及附件的约定，为实现甲方需要开展所有必要的工作，保证产品及服务的质量。 </w:t>
      </w:r>
    </w:p>
    <w:p w14:paraId="20E3F12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保证产品或服务全新未曾使用，符合合同规定，并符合中华人民共和国现行相关的法律、法规的要求，符合国家有关规范和技术要求，符合国家环境保护相关法律、法规的要求，不具有隐藏或者潜在的可能对甲方造成风险的功能。如果根据法律要求，需要对乙方的产品或服务进行网络安全审查的，乙方应当积极配合监管部门的审查工作，根据甲方和监管部门的要求提供审查材料，并对其提供材料的真实性负责。</w:t>
      </w:r>
    </w:p>
    <w:p w14:paraId="6D4F2E5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乙方按</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的质量保证体系，对所供产品的设计、采购、制造、检验、涂装、包装、运输、装卸、安装、调试等各个环节进行严格的质量管理和质量控制。乙方保证所提供的产品环保等级不低于国家相关标准，经</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认证，对人体不能造成伤害。</w:t>
      </w:r>
    </w:p>
    <w:p w14:paraId="4E07003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其拥有合法销售本合同产品的全部政府许可、生产和/或使用许可和/或授权，对其所销售的产品拥有完全的排他的所有权和/或知识产权。乙方对产品的销售不会损害甲方、任何第三方的合法权益和社会公共利益。若因乙方违反本条约定导致甲方遭受来自第三方的投诉、起诉以及处罚或侵犯甲方的合法权益等，乙方应当予以解决，并赔偿甲方由此遭受的全部损失。</w:t>
      </w:r>
    </w:p>
    <w:p w14:paraId="6E46B4B5">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若乙方提供的本合同项下的产品属于网络关键产品和网络安全专用产品的，应当保证其已经通过具备资格的安全认证机构的认证或安全检测，并取得法定要求的销售许可牌照。（乙方在交付时尚未通过上述认证或安全检测的，应当承诺自交付之日起3个月内通过认证和安全检测，并取得法定的销售许可牌照）。</w:t>
      </w:r>
    </w:p>
    <w:p w14:paraId="154D75C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乙方应当保证其提供的产品和服务的安全性和可信性，符合《网络安全法》及相关法律法规的规定。具体包括：</w:t>
      </w:r>
    </w:p>
    <w:p w14:paraId="1F045E16">
      <w:pPr>
        <w:pStyle w:val="4"/>
        <w:keepNext w:val="0"/>
        <w:keepLines w:val="0"/>
        <w:pageBreakBefore w:val="0"/>
        <w:widowControl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0" w:hanging="850"/>
        <w:textAlignment w:val="auto"/>
        <w:rPr>
          <w:rFonts w:hint="eastAsia" w:ascii="宋体" w:hAnsi="宋体" w:cs="宋体"/>
          <w:b w:val="0"/>
          <w:bCs w:val="0"/>
          <w:color w:val="auto"/>
          <w:sz w:val="21"/>
          <w:szCs w:val="21"/>
        </w:rPr>
      </w:pPr>
      <w:r>
        <w:rPr>
          <w:rFonts w:hint="eastAsia" w:ascii="宋体" w:hAnsi="宋体" w:eastAsia="宋体" w:cs="宋体"/>
          <w:b w:val="0"/>
          <w:bCs w:val="0"/>
          <w:color w:val="auto"/>
          <w:sz w:val="21"/>
          <w:szCs w:val="21"/>
        </w:rPr>
        <w:t>不得利用其提供的产品和服务非法获取甲方用户系统中的信息、用户设备中的信息，以及做其他任何损害甲方对于自身信息及用户系统中信息的所有权和/或使用权的行为；</w:t>
      </w:r>
    </w:p>
    <w:p w14:paraId="7683A7E0">
      <w:pPr>
        <w:pStyle w:val="4"/>
        <w:keepNext w:val="0"/>
        <w:keepLines w:val="0"/>
        <w:pageBreakBefore w:val="0"/>
        <w:widowControl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0" w:hanging="850"/>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不得利用提供产品和服务的便利非法控制、非法操纵甲方用户系统、用户设备，以及做其他任何损害甲方用户对于其系统和产品的所有权和/或使用权的行为；</w:t>
      </w:r>
    </w:p>
    <w:p w14:paraId="0DC7E45A">
      <w:pPr>
        <w:pStyle w:val="4"/>
        <w:keepNext w:val="0"/>
        <w:keepLines w:val="0"/>
        <w:pageBreakBefore w:val="0"/>
        <w:widowControl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0" w:hanging="850"/>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 xml:space="preserve">不得进行其他利用其提供的产品和服务损害甲方合法利益的行为。 </w:t>
      </w:r>
    </w:p>
    <w:p w14:paraId="325807A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若乙方提供的产品或服务具有收集甲方用户个人信息功能的，应当提前书面告知甲方，并经过甲方的同意；在甲方要求的情况下，乙方有义务采取技术手段禁用该等个人信息收集功能。如果乙方通过其提供的产品自行收集或使用甲方员工、甲方用户或其他产品使用人的个人信息的，乙方应当事先以书面形式获得甲方、甲方员工或甲方用户的有效明示授权。同时，乙方承诺其在收集、使用和处理上述个人信息时，严格遵守《网络安全法》及有关法律、行政法规关于个人信息保护的规定。若因乙方违反本条约定导致甲方遭受来自第三方的投诉、起诉以及处罚或侵犯甲方的合法权益等，乙方应当予以解决，并赔偿甲方由此遭受的全部损失。</w:t>
      </w:r>
    </w:p>
    <w:p w14:paraId="1744E76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将严格遵守中华人民共和国对于个人信息和重要数据本地化储存的法律法规要求，未经甲方事先书面同意，不得以任何目的将其在履行本合同过程中收集或获知的个人信息和重要数据传输到境外。本条款的期限为永久，在本合同终止后仍然有效。</w:t>
      </w:r>
    </w:p>
    <w:p w14:paraId="14B9E464">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乙方应当在甲方提出要求之时，在合理的时间范围内，迅速提供证据表明其向甲方提供本协议项下产品的合法合规性，包括许可证、检验报告、分析证明等。</w:t>
      </w:r>
    </w:p>
    <w:p w14:paraId="5DFC55BF">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知识产权</w:t>
      </w:r>
    </w:p>
    <w:p w14:paraId="23FFA79C">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乙方保证其履行本合同提供的产品、相关技术和服务（包括但不限于概念、构思、方法、方法论、过程、秘诀、技术、技能）不侵犯任何第三方的专利权、商标权或其他知识产权或其他合法权益。</w:t>
      </w:r>
    </w:p>
    <w:p w14:paraId="3420E2B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本合同签订前各当事人制作、开发的各种软件、程序、工具、文档、方法论等各种无形资产所属产权归各当事人所有。但是，合同签订并收到产品后，甲方拥有永久的免费使用权。</w:t>
      </w:r>
    </w:p>
    <w:p w14:paraId="15715AA0">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保密</w:t>
      </w:r>
    </w:p>
    <w:p w14:paraId="4A434A19">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甲乙双方对彼此之间提供的保密信息、本合同的存在、内容、签署及履行情况负有保密责任。未经双方一致许可，任何一方不得擅自向外透露或提供另一方所提供的保密信息、本合同的存在、内容、签署及履行情况。一方对另一方披露的保密义务不因本合同的终止而终止。</w:t>
      </w:r>
    </w:p>
    <w:p w14:paraId="08F1591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前述</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保密信息</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包括但不限于下列信息：</w:t>
      </w:r>
    </w:p>
    <w:p w14:paraId="490EAE4C">
      <w:pPr>
        <w:pStyle w:val="4"/>
        <w:keepNext w:val="0"/>
        <w:keepLines w:val="0"/>
        <w:pageBreakBefore w:val="0"/>
        <w:widowControl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0" w:hanging="85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由披露方直接或间接地披露给接收方的，以书面、图形、计算机可读形式或其他有形形式（包括文件、软件、图片、原型、样品、数据以及产品）记载的全部信息；</w:t>
      </w:r>
    </w:p>
    <w:p w14:paraId="47CD3C57">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由披露方直接或间接的以口头方式披露予接收方的信息，且披露方在口头披露信息时，已向接收方说明了该信息的保密性。</w:t>
      </w:r>
    </w:p>
    <w:p w14:paraId="18E0F0A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保密信息不包含下列信息：</w:t>
      </w:r>
    </w:p>
    <w:p w14:paraId="6975F65D">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由披露方以书面形式同意接收方披露的信息；</w:t>
      </w:r>
    </w:p>
    <w:p w14:paraId="69074886">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披露时即为公共知晓的信息，或并非由于接收方违反本合同而成为公共知晓的信息；</w:t>
      </w:r>
    </w:p>
    <w:p w14:paraId="504C260F">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在披露方披露之前，即为接收方在不对披露方承担保密义务的情况下所知悉的信息；</w:t>
      </w:r>
    </w:p>
    <w:p w14:paraId="5C5AED04">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由第三方披露给接收方的信息，且接收方已知晓第三方无须对该信息承担保密义务；</w:t>
      </w:r>
    </w:p>
    <w:p w14:paraId="4E9B5D36">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由接收方在没有参考披露方保密信息的情况下独立开发的信息；</w:t>
      </w:r>
    </w:p>
    <w:p w14:paraId="681AA0D4">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因法律、法院命令、法律程序或具有管辖权的政府或监管机构所要求做出的披露。</w:t>
      </w:r>
    </w:p>
    <w:p w14:paraId="54A0ED9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任何一方均应保证在向有必要知悉保密信息的雇员（包括其关联公司雇员）、代理人、分包商披露保密信息前，这些雇员（包括其关联公司雇员）、代理人、分包商将按照不低于本合同的要求对保密信息予以保密。</w:t>
      </w:r>
    </w:p>
    <w:p w14:paraId="60AA967C">
      <w:pPr>
        <w:pStyle w:val="3"/>
        <w:numPr>
          <w:ilvl w:val="1"/>
          <w:numId w:val="1"/>
        </w:numPr>
        <w:tabs>
          <w:tab w:val="left" w:pos="720"/>
        </w:tabs>
        <w:spacing w:after="156"/>
        <w:rPr>
          <w:rFonts w:hint="eastAsia" w:ascii="宋体" w:hAnsi="宋体" w:eastAsia="宋体" w:cs="宋体"/>
          <w:color w:val="auto"/>
          <w:sz w:val="21"/>
          <w:szCs w:val="21"/>
        </w:rPr>
      </w:pPr>
      <w:r>
        <w:rPr>
          <w:rFonts w:hint="eastAsia" w:ascii="宋体" w:hAnsi="宋体" w:eastAsia="宋体" w:cs="宋体"/>
          <w:b w:val="0"/>
          <w:bCs w:val="0"/>
          <w:color w:val="auto"/>
          <w:sz w:val="21"/>
          <w:szCs w:val="21"/>
        </w:rPr>
        <w:t>本条规定之保密义务自披露方提供之日起，至本协议终止之后</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rPr>
        <w:t>年止，在此期间持续有效。</w:t>
      </w:r>
    </w:p>
    <w:p w14:paraId="5F8F82BD">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违约责任</w:t>
      </w:r>
    </w:p>
    <w:p w14:paraId="4DF25A3F">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一方不履行本合同义务或者履行本合同义务不符合约定的，或在本合同中做出的任何声明被证明是不正确的或是具有误导性的，或违背其声明或保证的，构成违约，违约方应向守约方承担继续履行、采取补救措施或者赔偿损失等违约责任。因违约给守约方造成损害的，违约方应向守约方承担全部损害赔偿责任。</w:t>
      </w:r>
    </w:p>
    <w:p w14:paraId="6E940B52">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乙方未按照本合同约定期限提供产品的，或提供的产品未能通过甲方确认的且未能在甲方要求的时限内进行能令甲方满意的更换的，每逾期一日，乙方应按延迟交付部分对应合同价款金额的</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‰向甲方支付违约金；乙方逾期超过</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日的，甲方有权解除本合同，并要求乙方（1）承担合同总价款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rPr>
        <w:t>%</w:t>
      </w:r>
      <w:r>
        <w:rPr>
          <w:rFonts w:hint="eastAsia" w:ascii="宋体" w:hAnsi="宋体" w:eastAsia="宋体" w:cs="宋体"/>
          <w:b w:val="0"/>
          <w:bCs w:val="0"/>
          <w:color w:val="auto"/>
          <w:sz w:val="21"/>
          <w:szCs w:val="21"/>
        </w:rPr>
        <w:t>的解约违约金；和（2）自合同解除之日起</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个工作日内全额返还甲方已支付的款项，每逾期一日，乙方应按应返还未返还金额的</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‰按日向甲方支付逾期违约金。</w:t>
      </w:r>
    </w:p>
    <w:p w14:paraId="3F127B99">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乙方未按本合同的约定履行安装、调试、培训义务的，每迟延一天，乙方应向甲方支付合同总价款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‰的违约金；乙方逾期超过</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日的，甲方有权解除本合同，并要求乙方承担合同总价款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rPr>
        <w:t>%</w:t>
      </w:r>
      <w:r>
        <w:rPr>
          <w:rFonts w:hint="eastAsia" w:ascii="宋体" w:hAnsi="宋体" w:eastAsia="宋体" w:cs="宋体"/>
          <w:b w:val="0"/>
          <w:bCs w:val="0"/>
          <w:color w:val="auto"/>
          <w:sz w:val="21"/>
          <w:szCs w:val="21"/>
        </w:rPr>
        <w:t>的解约违约金；和（2）自合同解除之日起</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个工作日内全额返还甲方已支付的款项，每逾期一日，乙方应按应返还未返还金额的</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‰按日向甲方支付逾期违约金。</w:t>
      </w:r>
    </w:p>
    <w:p w14:paraId="61D35061">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乙方未按本合同的约定履行保修义务的，或乙方未能按照本合同约定提供产品原厂商服务的，每迟延一天，乙方应向甲方支付合同总价款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‰的违约金，甲方有权直接从未付的尾款中扣除该等违约金；乙方逾期超过</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日的，甲方有权解除本合同，并要求乙方承担合同总价款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rPr>
        <w:t>%</w:t>
      </w:r>
      <w:r>
        <w:rPr>
          <w:rFonts w:hint="eastAsia" w:ascii="宋体" w:hAnsi="宋体" w:eastAsia="宋体" w:cs="宋体"/>
          <w:b w:val="0"/>
          <w:bCs w:val="0"/>
          <w:color w:val="auto"/>
          <w:sz w:val="21"/>
          <w:szCs w:val="21"/>
        </w:rPr>
        <w:t>的解约违约金；和（2）自合同解除之日起</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个工作日内全额返还甲方已支付的款项，每逾期一日，乙方应按应返还未返还金额的</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‰按日向甲方支付逾期违约金。</w:t>
      </w:r>
    </w:p>
    <w:p w14:paraId="256D84B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乙方未按本合同约定或未经甲方同意而擅自解除本合同，乙方应在</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5</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个工作日内将甲方已支付的款项全额予以退还，乙方还应向甲方支付合同总价款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rPr>
        <w:t>%</w:t>
      </w:r>
      <w:r>
        <w:rPr>
          <w:rFonts w:hint="eastAsia" w:ascii="宋体" w:hAnsi="宋体" w:eastAsia="宋体" w:cs="宋体"/>
          <w:b w:val="0"/>
          <w:bCs w:val="0"/>
          <w:color w:val="auto"/>
          <w:sz w:val="21"/>
          <w:szCs w:val="21"/>
        </w:rPr>
        <w:t>的解约违约金；给甲方造成损失时，乙方应负责赔偿。</w:t>
      </w:r>
    </w:p>
    <w:p w14:paraId="4D35D796">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如果在执行本合同的过程中任何一方违反本合同项下的保密义务而造成任何保密信息的泄露，</w:t>
      </w:r>
      <w:r>
        <w:rPr>
          <w:rFonts w:hint="eastAsia" w:ascii="宋体" w:hAnsi="宋体" w:eastAsia="宋体" w:cs="宋体"/>
          <w:b w:val="0"/>
          <w:bCs w:val="0"/>
          <w:color w:val="auto"/>
          <w:sz w:val="21"/>
          <w:szCs w:val="21"/>
          <w:lang w:val="zh-TW" w:eastAsia="zh-TW"/>
        </w:rPr>
        <w:t>违约方应</w:t>
      </w:r>
      <w:r>
        <w:rPr>
          <w:rFonts w:hint="eastAsia" w:ascii="宋体" w:hAnsi="宋体" w:eastAsia="宋体" w:cs="宋体"/>
          <w:b w:val="0"/>
          <w:bCs w:val="0"/>
          <w:color w:val="auto"/>
          <w:sz w:val="21"/>
          <w:szCs w:val="21"/>
          <w:lang w:val="zh-TW"/>
        </w:rPr>
        <w:t>向守约方</w:t>
      </w:r>
      <w:r>
        <w:rPr>
          <w:rFonts w:hint="eastAsia" w:ascii="宋体" w:hAnsi="宋体" w:eastAsia="宋体" w:cs="宋体"/>
          <w:b w:val="0"/>
          <w:bCs w:val="0"/>
          <w:color w:val="auto"/>
          <w:sz w:val="21"/>
          <w:szCs w:val="21"/>
          <w:lang w:val="zh-TW" w:eastAsia="zh-TW"/>
        </w:rPr>
        <w:t>支付</w:t>
      </w:r>
      <w:r>
        <w:rPr>
          <w:rFonts w:hint="eastAsia" w:ascii="宋体" w:hAnsi="宋体" w:eastAsia="宋体" w:cs="宋体"/>
          <w:b w:val="0"/>
          <w:bCs w:val="0"/>
          <w:color w:val="auto"/>
          <w:sz w:val="21"/>
          <w:szCs w:val="21"/>
          <w:lang w:val="zh-TW"/>
        </w:rPr>
        <w:t>本合同</w:t>
      </w:r>
      <w:r>
        <w:rPr>
          <w:rFonts w:hint="eastAsia" w:ascii="宋体" w:hAnsi="宋体" w:eastAsia="宋体" w:cs="宋体"/>
          <w:b w:val="0"/>
          <w:bCs w:val="0"/>
          <w:color w:val="auto"/>
          <w:sz w:val="21"/>
          <w:szCs w:val="21"/>
          <w:lang w:val="zh-TW" w:eastAsia="zh-TW"/>
        </w:rPr>
        <w:t>总价款</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30</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rPr>
        <w:t>%</w:t>
      </w:r>
      <w:r>
        <w:rPr>
          <w:rFonts w:hint="eastAsia" w:ascii="宋体" w:hAnsi="宋体" w:eastAsia="宋体" w:cs="宋体"/>
          <w:b w:val="0"/>
          <w:bCs w:val="0"/>
          <w:color w:val="auto"/>
          <w:sz w:val="21"/>
          <w:szCs w:val="21"/>
          <w:lang w:val="zh-TW" w:eastAsia="zh-TW"/>
        </w:rPr>
        <w:t>作为违约金。</w:t>
      </w:r>
    </w:p>
    <w:p w14:paraId="2AB84E98">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因乙方违反本合同第八条知识产权条款，导致本合同无法正常履行，或导致甲方不能有效或完全使用本合同下的交付成果，或导致第三方向甲方进行投诉、举报、曝光、罚款、索赔（包括任何形式的赔偿、补偿）、诉讼、仲裁或使甲方产生任何损失的，则乙方应当承担全部法律责任，并向甲方赔偿甲方因此所遭受的全部损失和费用。</w:t>
      </w:r>
    </w:p>
    <w:p w14:paraId="6EE8A06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如果乙方有赔偿和/或支付违约金的责任，则甲方有权从未付款项中优先扣除相应金额。</w:t>
      </w:r>
    </w:p>
    <w:p w14:paraId="49E105C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如果本合同约定的违约金不足以弥补由此给甲方造成的损失，甲方还有权要求乙方赔偿损失。</w:t>
      </w:r>
    </w:p>
    <w:p w14:paraId="3C9651B3">
      <w:pPr>
        <w:pStyle w:val="3"/>
        <w:keepNext w:val="0"/>
        <w:keepLines w:val="0"/>
        <w:pageBreakBefore w:val="0"/>
        <w:numPr>
          <w:ilvl w:val="1"/>
          <w:numId w:val="1"/>
        </w:numPr>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任何一方发生违约行为除依照本条承担违约责任外，还应赔偿因其违约导致的对方的其他合理支出，包括但不限于律师费、诉讼费、调查费、差旅费等。</w:t>
      </w:r>
    </w:p>
    <w:p w14:paraId="18484497">
      <w:pPr>
        <w:pStyle w:val="3"/>
        <w:keepNext w:val="0"/>
        <w:keepLines w:val="0"/>
        <w:pageBreakBefore w:val="0"/>
        <w:numPr>
          <w:ilvl w:val="1"/>
          <w:numId w:val="1"/>
        </w:numPr>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如因乙方产品给甲方或任何第三方带来任何人身、财产的损失，则甲方或该第三方有权追究乙方的侵权责任，该等责任不受本合同的限制。如甲方先行向第三方垫付费用，甲方有权向乙方追偿。</w:t>
      </w:r>
    </w:p>
    <w:p w14:paraId="18AB6C4D">
      <w:pPr>
        <w:keepNext w:val="0"/>
        <w:keepLines w:val="0"/>
        <w:pageBreakBefore w:val="0"/>
        <w:kinsoku/>
        <w:wordWrap/>
        <w:overflowPunct/>
        <w:topLinePunct w:val="0"/>
        <w:autoSpaceDE/>
        <w:autoSpaceDN/>
        <w:bidi w:val="0"/>
        <w:adjustRightInd/>
        <w:snapToGrid w:val="0"/>
        <w:spacing w:beforeAutospacing="0" w:line="300" w:lineRule="auto"/>
        <w:textAlignment w:val="auto"/>
        <w:rPr>
          <w:rFonts w:hint="eastAsia" w:ascii="宋体" w:hAnsi="宋体" w:eastAsia="宋体" w:cs="宋体"/>
          <w:color w:val="auto"/>
          <w:sz w:val="21"/>
          <w:szCs w:val="21"/>
        </w:rPr>
      </w:pPr>
    </w:p>
    <w:p w14:paraId="1E7D7DCE">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合同的终止</w:t>
      </w:r>
    </w:p>
    <w:p w14:paraId="6904126B">
      <w:pPr>
        <w:keepNext w:val="0"/>
        <w:keepLines w:val="0"/>
        <w:pageBreakBefore w:val="0"/>
        <w:kinsoku/>
        <w:wordWrap/>
        <w:overflowPunct/>
        <w:topLinePunct w:val="0"/>
        <w:autoSpaceDE/>
        <w:autoSpaceDN/>
        <w:bidi w:val="0"/>
        <w:adjustRightInd/>
        <w:snapToGrid w:val="0"/>
        <w:spacing w:beforeAutospacing="0" w:after="200" w:line="300" w:lineRule="auto"/>
        <w:jc w:val="center"/>
        <w:textAlignment w:val="auto"/>
        <w:rPr>
          <w:rFonts w:hint="eastAsia" w:ascii="宋体" w:hAnsi="宋体" w:eastAsia="宋体" w:cs="宋体"/>
          <w:color w:val="auto"/>
          <w:sz w:val="21"/>
          <w:szCs w:val="21"/>
        </w:rPr>
      </w:pPr>
    </w:p>
    <w:p w14:paraId="6DCAE4B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除法律规定的其它情形外，发生在下列任一情形的，甲方有权解除本合同：</w:t>
      </w:r>
    </w:p>
    <w:p w14:paraId="617335F5">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由于不可抗力事件使乙方不能在合同规定期限内完成全部工作，且不可抗力事件持续超过</w:t>
      </w:r>
      <w:r>
        <w:rPr>
          <w:rFonts w:hint="eastAsia" w:ascii="宋体" w:hAnsi="宋体" w:cs="宋体"/>
          <w:b w:val="0"/>
          <w:bCs w:val="0"/>
          <w:color w:val="auto"/>
          <w:sz w:val="21"/>
          <w:szCs w:val="21"/>
          <w:u w:val="single"/>
        </w:rPr>
        <w:t>60</w:t>
      </w:r>
      <w:r>
        <w:rPr>
          <w:rFonts w:hint="eastAsia" w:ascii="宋体" w:hAnsi="宋体" w:cs="宋体"/>
          <w:b w:val="0"/>
          <w:bCs w:val="0"/>
          <w:color w:val="auto"/>
          <w:sz w:val="21"/>
          <w:szCs w:val="21"/>
        </w:rPr>
        <w:t>个工作日。</w:t>
      </w:r>
    </w:p>
    <w:p w14:paraId="23A6BCA2">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发生第十条约定的违约解除的情形以及本合同约定的其他甲方有权解除本合同的情形。</w:t>
      </w:r>
    </w:p>
    <w:p w14:paraId="5BB32BCD">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乙方发生其它实质性违约，经甲方催告未能在合理期限内弥补违约。</w:t>
      </w:r>
    </w:p>
    <w:p w14:paraId="786BD264">
      <w:pPr>
        <w:pStyle w:val="4"/>
        <w:keepNext w:val="0"/>
        <w:keepLines w:val="0"/>
        <w:pageBreakBefore w:val="0"/>
        <w:numPr>
          <w:ilvl w:val="2"/>
          <w:numId w:val="1"/>
        </w:numPr>
        <w:tabs>
          <w:tab w:val="left" w:pos="1418"/>
        </w:tabs>
        <w:kinsoku/>
        <w:wordWrap/>
        <w:overflowPunct/>
        <w:topLinePunct w:val="0"/>
        <w:autoSpaceDE/>
        <w:autoSpaceDN/>
        <w:bidi w:val="0"/>
        <w:adjustRightInd/>
        <w:snapToGrid w:val="0"/>
        <w:spacing w:beforeAutospacing="0" w:after="156" w:line="300" w:lineRule="auto"/>
        <w:ind w:left="851" w:hanging="851"/>
        <w:textAlignment w:val="auto"/>
        <w:rPr>
          <w:rFonts w:hint="eastAsia" w:ascii="宋体" w:hAnsi="宋体" w:cs="宋体"/>
          <w:b w:val="0"/>
          <w:bCs w:val="0"/>
          <w:color w:val="auto"/>
          <w:sz w:val="21"/>
          <w:szCs w:val="21"/>
        </w:rPr>
      </w:pPr>
      <w:r>
        <w:rPr>
          <w:rFonts w:hint="eastAsia" w:ascii="宋体" w:hAnsi="宋体" w:cs="宋体"/>
          <w:b w:val="0"/>
          <w:bCs w:val="0"/>
          <w:color w:val="auto"/>
          <w:sz w:val="21"/>
          <w:szCs w:val="21"/>
        </w:rPr>
        <w:t>根据法律法规或其他监管规定的要求，任何一方已不适宜继续履行本合同。</w:t>
      </w:r>
    </w:p>
    <w:p w14:paraId="3EE55397">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因乙方违约导致甲方解除本合同的，乙方应当按照本合同约定承担违约责任。</w:t>
      </w:r>
    </w:p>
    <w:p w14:paraId="6E60B78D">
      <w:pPr>
        <w:keepNext w:val="0"/>
        <w:keepLines w:val="0"/>
        <w:pageBreakBefore w:val="0"/>
        <w:kinsoku/>
        <w:wordWrap/>
        <w:overflowPunct/>
        <w:topLinePunct w:val="0"/>
        <w:autoSpaceDE/>
        <w:autoSpaceDN/>
        <w:bidi w:val="0"/>
        <w:adjustRightInd/>
        <w:snapToGrid w:val="0"/>
        <w:spacing w:beforeAutospacing="0" w:line="300" w:lineRule="auto"/>
        <w:textAlignment w:val="auto"/>
        <w:rPr>
          <w:rFonts w:hint="eastAsia" w:ascii="宋体" w:hAnsi="宋体" w:eastAsia="宋体" w:cs="宋体"/>
          <w:color w:val="auto"/>
          <w:sz w:val="21"/>
          <w:szCs w:val="21"/>
        </w:rPr>
      </w:pPr>
    </w:p>
    <w:p w14:paraId="38A3017E">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不可抗力</w:t>
      </w:r>
    </w:p>
    <w:p w14:paraId="32D338F8">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所称的不可抗力事件，是指在本合同签订并生效后，非由于任何一方的过失或故意，发生了双方不能预见、不能避免并不能克服的事件，且该事件妨碍、影响或延误任何一方根据本合同履行其全部或部分义务。该事件包括但不限于地震、台风、洪水、火灾、瘟疫、战争、政变、恐怖主义行动、骚乱、罢工以及新法律或国家政策颁布或对原法律或国家政策的修改或新的监管要求。</w:t>
      </w:r>
    </w:p>
    <w:p w14:paraId="3115AD86">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发生不可抗力事件，遭受该事件的一方应尽最大努力减少由此可能造成的损失，立即用可能的快捷方式通知对方，并在15个自然日内提供事件发生地的政府有关部门或公证机构出具的证明文件说明有关事件的细节和不能履行或部分不能履行或需延迟履行本合同的原因。双方应在协商一致的基础上决定是否延期履行本合同或终止本合同，并达成书面协议。</w:t>
      </w:r>
    </w:p>
    <w:p w14:paraId="7EE94C6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如果发生不可抗力，致使一方不能履行或迟延履行本合同项下之各项义务，则该方对无法履行或迟延履行其在本合同项下的任何义务不承担责任，但该方应采取一切必要和适当的措施减轻可能给对方造成的损失；该方迟延履行其在本合同项下义务后发生不可抗力的，该方对无法履行或迟延履行其在本合同项下的义务不能免除责任。</w:t>
      </w:r>
    </w:p>
    <w:p w14:paraId="29F54A05">
      <w:pPr>
        <w:keepNext w:val="0"/>
        <w:keepLines w:val="0"/>
        <w:pageBreakBefore w:val="0"/>
        <w:kinsoku/>
        <w:wordWrap/>
        <w:overflowPunct/>
        <w:topLinePunct w:val="0"/>
        <w:autoSpaceDE/>
        <w:autoSpaceDN/>
        <w:bidi w:val="0"/>
        <w:adjustRightInd/>
        <w:snapToGrid w:val="0"/>
        <w:spacing w:beforeAutospacing="0" w:line="300" w:lineRule="auto"/>
        <w:textAlignment w:val="auto"/>
        <w:rPr>
          <w:rFonts w:hint="eastAsia" w:ascii="宋体" w:hAnsi="宋体" w:eastAsia="宋体" w:cs="宋体"/>
          <w:color w:val="auto"/>
          <w:sz w:val="21"/>
          <w:szCs w:val="21"/>
        </w:rPr>
      </w:pPr>
    </w:p>
    <w:p w14:paraId="52219AED">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转让</w:t>
      </w:r>
    </w:p>
    <w:p w14:paraId="29CB304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未经甲方的事先书面同意，乙方不得将本合同下的权利和义务全部或者部分转让给第三方，亦不得分包。</w:t>
      </w:r>
    </w:p>
    <w:p w14:paraId="3886B54E">
      <w:pPr>
        <w:keepNext w:val="0"/>
        <w:keepLines w:val="0"/>
        <w:pageBreakBefore w:val="0"/>
        <w:kinsoku/>
        <w:wordWrap/>
        <w:overflowPunct/>
        <w:topLinePunct w:val="0"/>
        <w:autoSpaceDE/>
        <w:autoSpaceDN/>
        <w:bidi w:val="0"/>
        <w:adjustRightInd/>
        <w:snapToGrid w:val="0"/>
        <w:spacing w:beforeAutospacing="0" w:after="200" w:line="300" w:lineRule="auto"/>
        <w:textAlignment w:val="auto"/>
        <w:rPr>
          <w:rFonts w:hint="eastAsia" w:ascii="宋体" w:hAnsi="宋体" w:eastAsia="宋体" w:cs="宋体"/>
          <w:color w:val="auto"/>
          <w:sz w:val="21"/>
          <w:szCs w:val="21"/>
        </w:rPr>
      </w:pPr>
    </w:p>
    <w:p w14:paraId="7BDB940A">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反商业贿赂</w:t>
      </w:r>
    </w:p>
    <w:p w14:paraId="460298EE">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乙方承诺遵守中华人民共和国反商业贿赂相关法律规定，遵循守法、公正、公开、廉洁的原则开展执业活动，坚决拒绝任何形式的商业贿赂和不当竞争。</w:t>
      </w:r>
    </w:p>
    <w:p w14:paraId="6E8344A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不以任何形式向甲方及甲方工作人员及前述组织和个人的关联方进行商业贿赂、馈赠钱物(包括但不限于现金、有价证券、信用卡、购物卡、礼金、奖金、补贴、物品等)、报销各种费用或其他任何形式的利益输送。</w:t>
      </w:r>
    </w:p>
    <w:p w14:paraId="668F706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乙方承诺，如甲方工作人员以任何理由向乙方索要任何钱物(包括但不限于现金、有价证券、信用卡、购物卡、礼金、奖金、补贴、物品等)、报销各种费用或其他任何形式的不当利益，乙方将自觉抵制。</w:t>
      </w:r>
    </w:p>
    <w:p w14:paraId="29CF22FA">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通知及送达</w:t>
      </w:r>
    </w:p>
    <w:p w14:paraId="0394201B">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项下任何一方向另一方发出的任何通知或其他信息应以书面通讯方式通过邮递或电子邮件的方式发出。一切书面通讯均应发往本合同确认的地址。本合同所指的任何书面通讯的送达日是指：如经邮递服务公司传递，则收件人签收日或邮件寄出后的第3个工作日（以二者中较早的时间为准）为送达日。如经电子邮件传递，则收件人收到日或电子邮件发出后的次日（以二者中较早的时间为准）为送达日。双方的联系方式如下：</w:t>
      </w:r>
    </w:p>
    <w:tbl>
      <w:tblPr>
        <w:tblStyle w:val="10"/>
        <w:tblW w:w="8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39"/>
        <w:gridCol w:w="3981"/>
      </w:tblGrid>
      <w:tr w14:paraId="5B40F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739" w:type="dxa"/>
            <w:tcBorders>
              <w:tl2br w:val="nil"/>
              <w:tr2bl w:val="nil"/>
            </w:tcBorders>
            <w:noWrap w:val="0"/>
            <w:vAlign w:val="top"/>
          </w:tcPr>
          <w:p w14:paraId="599F8647">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 xml:space="preserve">甲方：   </w:t>
            </w:r>
          </w:p>
        </w:tc>
        <w:tc>
          <w:tcPr>
            <w:tcW w:w="3981" w:type="dxa"/>
            <w:tcBorders>
              <w:tl2br w:val="nil"/>
              <w:tr2bl w:val="nil"/>
            </w:tcBorders>
            <w:noWrap w:val="0"/>
            <w:vAlign w:val="top"/>
          </w:tcPr>
          <w:p w14:paraId="175067E5">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乙方：</w:t>
            </w:r>
          </w:p>
        </w:tc>
      </w:tr>
      <w:tr w14:paraId="59B24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739" w:type="dxa"/>
            <w:tcBorders>
              <w:tl2br w:val="nil"/>
              <w:tr2bl w:val="nil"/>
            </w:tcBorders>
            <w:noWrap w:val="0"/>
            <w:vAlign w:val="top"/>
          </w:tcPr>
          <w:p w14:paraId="1444CF61">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联系人：</w:t>
            </w:r>
          </w:p>
        </w:tc>
        <w:tc>
          <w:tcPr>
            <w:tcW w:w="3981" w:type="dxa"/>
            <w:tcBorders>
              <w:tl2br w:val="nil"/>
              <w:tr2bl w:val="nil"/>
            </w:tcBorders>
            <w:noWrap w:val="0"/>
            <w:vAlign w:val="top"/>
          </w:tcPr>
          <w:p w14:paraId="143A1A19">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 xml:space="preserve">联系人： </w:t>
            </w:r>
          </w:p>
        </w:tc>
      </w:tr>
      <w:tr w14:paraId="2CF33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739" w:type="dxa"/>
            <w:tcBorders>
              <w:tl2br w:val="nil"/>
              <w:tr2bl w:val="nil"/>
            </w:tcBorders>
            <w:noWrap w:val="0"/>
            <w:vAlign w:val="top"/>
          </w:tcPr>
          <w:p w14:paraId="53B0F5FE">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通信地址：</w:t>
            </w:r>
          </w:p>
        </w:tc>
        <w:tc>
          <w:tcPr>
            <w:tcW w:w="3981" w:type="dxa"/>
            <w:tcBorders>
              <w:tl2br w:val="nil"/>
              <w:tr2bl w:val="nil"/>
            </w:tcBorders>
            <w:noWrap w:val="0"/>
            <w:vAlign w:val="top"/>
          </w:tcPr>
          <w:p w14:paraId="212B1165">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 xml:space="preserve">通信地址： </w:t>
            </w:r>
          </w:p>
        </w:tc>
      </w:tr>
      <w:tr w14:paraId="322C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739" w:type="dxa"/>
            <w:tcBorders>
              <w:tl2br w:val="nil"/>
              <w:tr2bl w:val="nil"/>
            </w:tcBorders>
            <w:noWrap w:val="0"/>
            <w:vAlign w:val="top"/>
          </w:tcPr>
          <w:p w14:paraId="3F7DB8CF">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 xml:space="preserve">电话： </w:t>
            </w:r>
          </w:p>
        </w:tc>
        <w:tc>
          <w:tcPr>
            <w:tcW w:w="3981" w:type="dxa"/>
            <w:tcBorders>
              <w:tl2br w:val="nil"/>
              <w:tr2bl w:val="nil"/>
            </w:tcBorders>
            <w:noWrap w:val="0"/>
            <w:vAlign w:val="top"/>
          </w:tcPr>
          <w:p w14:paraId="7F297DBC">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电话：</w:t>
            </w:r>
          </w:p>
        </w:tc>
      </w:tr>
      <w:tr w14:paraId="53010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739" w:type="dxa"/>
            <w:tcBorders>
              <w:tl2br w:val="nil"/>
              <w:tr2bl w:val="nil"/>
            </w:tcBorders>
            <w:noWrap w:val="0"/>
            <w:vAlign w:val="top"/>
          </w:tcPr>
          <w:p w14:paraId="2BCDADD3">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电子邮箱：</w:t>
            </w:r>
          </w:p>
        </w:tc>
        <w:tc>
          <w:tcPr>
            <w:tcW w:w="3981" w:type="dxa"/>
            <w:tcBorders>
              <w:tl2br w:val="nil"/>
              <w:tr2bl w:val="nil"/>
            </w:tcBorders>
            <w:noWrap w:val="0"/>
            <w:vAlign w:val="top"/>
          </w:tcPr>
          <w:p w14:paraId="56E1597C">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电子邮箱：</w:t>
            </w:r>
          </w:p>
        </w:tc>
      </w:tr>
    </w:tbl>
    <w:p w14:paraId="5457EF3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项下任何一方通讯信息发生变更，均应在变更前3个工作日内通知另一方，否则另一方向变更前的地址、号码、联系人发送文件或信息视为有效。以上地址及联络方式也是双方发生争议进入诉讼或仲裁程序时的司法送达地址及联络方式。</w:t>
      </w:r>
    </w:p>
    <w:p w14:paraId="2FEDC5EF">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法律适用及争议解决</w:t>
      </w:r>
    </w:p>
    <w:p w14:paraId="0CE07DD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本合同适用中华人民共和国（为本合同之目的，不包括香港特别行政区、澳门特别行政区和台湾地区）法律。</w:t>
      </w:r>
    </w:p>
    <w:p w14:paraId="1C3347AA">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本合同在履行过程中发生争议，可以通过协商解决或申请调解解决；协商或调解不成的，按下列第</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1 </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种方式解决：</w:t>
      </w:r>
    </w:p>
    <w:p w14:paraId="57469F99">
      <w:pPr>
        <w:pStyle w:val="3"/>
        <w:keepNext w:val="0"/>
        <w:keepLines w:val="0"/>
        <w:pageBreakBefore w:val="0"/>
        <w:numPr>
          <w:ilvl w:val="0"/>
          <w:numId w:val="0"/>
        </w:numPr>
        <w:tabs>
          <w:tab w:val="left" w:pos="567"/>
          <w:tab w:val="left" w:pos="720"/>
        </w:tabs>
        <w:kinsoku/>
        <w:wordWrap/>
        <w:overflowPunct/>
        <w:topLinePunct w:val="0"/>
        <w:autoSpaceDE/>
        <w:autoSpaceDN/>
        <w:bidi w:val="0"/>
        <w:adjustRightInd/>
        <w:snapToGrid w:val="0"/>
        <w:spacing w:beforeAutospacing="0" w:after="156" w:line="30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 向甲方住所地人民法院提起诉讼</w:t>
      </w:r>
    </w:p>
    <w:p w14:paraId="12446BC5">
      <w:pPr>
        <w:pStyle w:val="3"/>
        <w:keepNext w:val="0"/>
        <w:keepLines w:val="0"/>
        <w:pageBreakBefore w:val="0"/>
        <w:numPr>
          <w:ilvl w:val="0"/>
          <w:numId w:val="0"/>
        </w:numPr>
        <w:tabs>
          <w:tab w:val="left" w:pos="567"/>
          <w:tab w:val="left" w:pos="720"/>
        </w:tabs>
        <w:kinsoku/>
        <w:wordWrap/>
        <w:overflowPunct/>
        <w:topLinePunct w:val="0"/>
        <w:autoSpaceDE/>
        <w:autoSpaceDN/>
        <w:bidi w:val="0"/>
        <w:adjustRightInd/>
        <w:snapToGrid w:val="0"/>
        <w:spacing w:beforeAutospacing="0" w:after="156" w:line="30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 提交</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项目所在地 </w:t>
      </w:r>
      <w:r>
        <w:rPr>
          <w:rFonts w:hint="eastAsia" w:ascii="宋体" w:hAnsi="宋体" w:eastAsia="宋体" w:cs="宋体"/>
          <w:b w:val="0"/>
          <w:bCs w:val="0"/>
          <w:color w:val="auto"/>
          <w:sz w:val="21"/>
          <w:szCs w:val="21"/>
        </w:rPr>
        <w:t xml:space="preserve">仲裁委员会并按照该会届时有效的仲裁规则进行仲裁。 </w:t>
      </w:r>
    </w:p>
    <w:p w14:paraId="6DBF7325">
      <w:pPr>
        <w:pStyle w:val="3"/>
        <w:keepNext w:val="0"/>
        <w:keepLines w:val="0"/>
        <w:pageBreakBefore w:val="0"/>
        <w:numPr>
          <w:ilvl w:val="0"/>
          <w:numId w:val="0"/>
        </w:numPr>
        <w:tabs>
          <w:tab w:val="left" w:pos="567"/>
          <w:tab w:val="left" w:pos="720"/>
        </w:tabs>
        <w:kinsoku/>
        <w:wordWrap/>
        <w:overflowPunct/>
        <w:topLinePunct w:val="0"/>
        <w:autoSpaceDE/>
        <w:autoSpaceDN/>
        <w:bidi w:val="0"/>
        <w:adjustRightInd/>
        <w:snapToGrid w:val="0"/>
        <w:spacing w:beforeAutospacing="0" w:after="156" w:line="30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除非生效</w:t>
      </w:r>
      <w:r>
        <w:rPr>
          <w:rFonts w:hint="eastAsia" w:ascii="宋体" w:hAnsi="宋体" w:eastAsia="宋体" w:cs="宋体"/>
          <w:b w:val="0"/>
          <w:bCs w:val="0"/>
          <w:color w:val="auto"/>
          <w:kern w:val="44"/>
          <w:sz w:val="21"/>
          <w:szCs w:val="21"/>
          <w:u w:val="single"/>
        </w:rPr>
        <w:t>判决/裁决</w:t>
      </w:r>
      <w:r>
        <w:rPr>
          <w:rFonts w:hint="eastAsia" w:ascii="宋体" w:hAnsi="宋体" w:eastAsia="宋体" w:cs="宋体"/>
          <w:b w:val="0"/>
          <w:bCs w:val="0"/>
          <w:color w:val="auto"/>
          <w:sz w:val="21"/>
          <w:szCs w:val="21"/>
        </w:rPr>
        <w:t>另有规定，双方为解决争议而实际支付的费用包括但不限于</w:t>
      </w:r>
      <w:r>
        <w:rPr>
          <w:rFonts w:hint="eastAsia" w:ascii="宋体" w:hAnsi="宋体" w:eastAsia="宋体" w:cs="宋体"/>
          <w:b w:val="0"/>
          <w:bCs w:val="0"/>
          <w:color w:val="auto"/>
          <w:kern w:val="44"/>
          <w:sz w:val="21"/>
          <w:szCs w:val="21"/>
          <w:u w:val="single"/>
        </w:rPr>
        <w:t>诉讼费/仲裁费</w:t>
      </w:r>
      <w:r>
        <w:rPr>
          <w:rFonts w:hint="eastAsia" w:ascii="宋体" w:hAnsi="宋体" w:eastAsia="宋体" w:cs="宋体"/>
          <w:b w:val="0"/>
          <w:bCs w:val="0"/>
          <w:color w:val="auto"/>
          <w:sz w:val="21"/>
          <w:szCs w:val="21"/>
        </w:rPr>
        <w:t>和律师费（含风险代理律师费）由违约方承担。</w:t>
      </w:r>
    </w:p>
    <w:p w14:paraId="4DB2B372">
      <w:pPr>
        <w:pStyle w:val="3"/>
        <w:numPr>
          <w:ilvl w:val="1"/>
          <w:numId w:val="1"/>
        </w:numPr>
        <w:tabs>
          <w:tab w:val="left" w:pos="720"/>
        </w:tabs>
        <w:spacing w:after="156"/>
        <w:rPr>
          <w:rFonts w:hint="eastAsia" w:ascii="宋体" w:hAnsi="宋体" w:eastAsia="宋体" w:cs="宋体"/>
          <w:color w:val="auto"/>
          <w:sz w:val="21"/>
          <w:szCs w:val="21"/>
        </w:rPr>
      </w:pPr>
      <w:r>
        <w:rPr>
          <w:rFonts w:hint="eastAsia" w:ascii="宋体" w:hAnsi="宋体" w:eastAsia="宋体" w:cs="宋体"/>
          <w:b w:val="0"/>
          <w:bCs w:val="0"/>
          <w:color w:val="auto"/>
          <w:sz w:val="21"/>
          <w:szCs w:val="21"/>
        </w:rPr>
        <w:t>在争议解决期间，本合同中不涉及争议的条款仍须履行，双方均不得以解决争议为由拒不履行其在本合同项下的任何义务。</w:t>
      </w:r>
    </w:p>
    <w:p w14:paraId="4320F4E9">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其它</w:t>
      </w:r>
    </w:p>
    <w:p w14:paraId="18F6490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本合同一式</w:t>
      </w:r>
      <w:r>
        <w:rPr>
          <w:rFonts w:hint="eastAsia" w:ascii="宋体" w:hAnsi="宋体" w:eastAsia="宋体" w:cs="宋体"/>
          <w:b w:val="0"/>
          <w:bCs w:val="0"/>
          <w:color w:val="auto"/>
          <w:sz w:val="21"/>
          <w:szCs w:val="21"/>
          <w:u w:val="single"/>
          <w:lang w:val="en-US" w:eastAsia="zh-CN"/>
        </w:rPr>
        <w:t xml:space="preserve">  肆 </w:t>
      </w:r>
      <w:r>
        <w:rPr>
          <w:rFonts w:hint="eastAsia" w:ascii="宋体" w:hAnsi="宋体" w:eastAsia="宋体" w:cs="宋体"/>
          <w:b w:val="0"/>
          <w:bCs w:val="0"/>
          <w:color w:val="auto"/>
          <w:sz w:val="21"/>
          <w:szCs w:val="21"/>
        </w:rPr>
        <w:t>份，甲乙双方各执</w:t>
      </w:r>
      <w:r>
        <w:rPr>
          <w:rFonts w:hint="eastAsia" w:ascii="宋体" w:hAnsi="宋体" w:eastAsia="宋体" w:cs="宋体"/>
          <w:b w:val="0"/>
          <w:bCs w:val="0"/>
          <w:color w:val="auto"/>
          <w:sz w:val="21"/>
          <w:szCs w:val="21"/>
          <w:u w:val="single"/>
          <w:lang w:val="en-US" w:eastAsia="zh-CN"/>
        </w:rPr>
        <w:t xml:space="preserve"> 两  </w:t>
      </w:r>
      <w:r>
        <w:rPr>
          <w:rFonts w:hint="eastAsia" w:ascii="宋体" w:hAnsi="宋体" w:eastAsia="宋体" w:cs="宋体"/>
          <w:b w:val="0"/>
          <w:bCs w:val="0"/>
          <w:color w:val="auto"/>
          <w:sz w:val="21"/>
          <w:szCs w:val="21"/>
        </w:rPr>
        <w:t>份，每份具有同等的法律效力。</w:t>
      </w:r>
    </w:p>
    <w:p w14:paraId="1615F5C1">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本合同自双方法定代表人/负责人或授权代表签字或签章，并加盖公章或合同专用章之日起生效。</w:t>
      </w:r>
    </w:p>
    <w:p w14:paraId="2690C29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本合同附件为本合同不可分割之组成部分，具有同等法律效力，附件与本合同正文有冲突时，适用本合同正文的规定。</w:t>
      </w:r>
    </w:p>
    <w:p w14:paraId="7223FF19">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本合同中未尽事宜，按照本采购项目相关文件的有关规定、乙方的报价文件及澄清、说明或补正文件执行。双方协商协商一致，可对本合同进行补充、变更，补充协议与本合同具有同等法律效力。</w:t>
      </w:r>
    </w:p>
    <w:p w14:paraId="1FAF94E0">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无论明示或默示方式表明在本合同终止或到期后继续有效的条款，在本合同终止或到期后将继续有效，并具约束力。如果本合同的任何条款被裁定为部分或全部无效，则该条款（或其相关部分）将不构成为本合同的一部分, 但本合同的其它条款不受影响。</w:t>
      </w:r>
    </w:p>
    <w:p w14:paraId="11971393">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本合同语言为中文。双方交换的与合同有关的信函均用中文书写。</w:t>
      </w:r>
    </w:p>
    <w:p w14:paraId="2569D484">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本合同是双方就本合同所涉事项达成的完整文件，构成本合同双方的全部协议。如本合同的约定与双方此前签署的意向书或其他法律文件或其他书面和口头的约定存在不一致之处，应以本合同的约定为准。</w:t>
      </w:r>
    </w:p>
    <w:p w14:paraId="7E64630D">
      <w:pPr>
        <w:pStyle w:val="3"/>
        <w:keepNext w:val="0"/>
        <w:keepLines w:val="0"/>
        <w:pageBreakBefore w:val="0"/>
        <w:numPr>
          <w:ilvl w:val="1"/>
          <w:numId w:val="1"/>
        </w:numPr>
        <w:tabs>
          <w:tab w:val="left" w:pos="720"/>
        </w:tabs>
        <w:kinsoku/>
        <w:wordWrap/>
        <w:overflowPunct/>
        <w:topLinePunct w:val="0"/>
        <w:autoSpaceDE/>
        <w:autoSpaceDN/>
        <w:bidi w:val="0"/>
        <w:adjustRightInd/>
        <w:snapToGrid w:val="0"/>
        <w:spacing w:beforeAutospacing="0" w:after="156" w:line="300" w:lineRule="auto"/>
        <w:ind w:lef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本合同由双方共同拟定。在签署本合同时，双方对本合同的所有条款已经阅悉，均无异议，并对双方之间的法律关系、有关权利、义务和责任的条款的法律含义均已理解，且不存在异议。</w:t>
      </w:r>
    </w:p>
    <w:p w14:paraId="56956E6C">
      <w:pPr>
        <w:pStyle w:val="2"/>
        <w:keepNext w:val="0"/>
        <w:keepLines w:val="0"/>
        <w:pageBreakBefore w:val="0"/>
        <w:numPr>
          <w:ilvl w:val="0"/>
          <w:numId w:val="1"/>
        </w:numPr>
        <w:tabs>
          <w:tab w:val="left" w:pos="567"/>
        </w:tabs>
        <w:kinsoku/>
        <w:wordWrap/>
        <w:overflowPunct/>
        <w:topLinePunct w:val="0"/>
        <w:autoSpaceDE/>
        <w:autoSpaceDN/>
        <w:bidi w:val="0"/>
        <w:adjustRightInd/>
        <w:snapToGrid w:val="0"/>
        <w:spacing w:beforeAutospacing="0" w:after="156" w:line="300" w:lineRule="auto"/>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补充条款</w:t>
      </w:r>
    </w:p>
    <w:p w14:paraId="542E6073">
      <w:pPr>
        <w:spacing w:after="200" w:line="300" w:lineRule="auto"/>
        <w:jc w:val="center"/>
        <w:rPr>
          <w:rFonts w:hint="eastAsia" w:ascii="宋体" w:hAnsi="宋体" w:eastAsia="宋体" w:cs="宋体"/>
          <w:color w:val="auto"/>
          <w:sz w:val="24"/>
        </w:rPr>
      </w:pPr>
      <w:r>
        <w:rPr>
          <w:rFonts w:hint="eastAsia" w:ascii="宋体" w:hAnsi="宋体" w:eastAsia="宋体" w:cs="宋体"/>
          <w:color w:val="auto"/>
          <w:sz w:val="24"/>
        </w:rPr>
        <w:t>（以下无正文）</w:t>
      </w:r>
    </w:p>
    <w:tbl>
      <w:tblPr>
        <w:tblStyle w:val="10"/>
        <w:tblW w:w="9669"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10"/>
        <w:gridCol w:w="4459"/>
      </w:tblGrid>
      <w:tr w14:paraId="4647A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10" w:type="dxa"/>
            <w:tcBorders>
              <w:tl2br w:val="nil"/>
              <w:tr2bl w:val="nil"/>
            </w:tcBorders>
            <w:noWrap w:val="0"/>
            <w:vAlign w:val="top"/>
          </w:tcPr>
          <w:p w14:paraId="7957E735">
            <w:pPr>
              <w:spacing w:after="200" w:line="300" w:lineRule="auto"/>
              <w:rPr>
                <w:rFonts w:hint="eastAsia" w:ascii="宋体" w:hAnsi="宋体" w:eastAsia="宋体" w:cs="宋体"/>
                <w:color w:val="auto"/>
                <w:sz w:val="24"/>
                <w:szCs w:val="32"/>
                <w:vertAlign w:val="baseline"/>
              </w:rPr>
            </w:pPr>
            <w:r>
              <w:rPr>
                <w:rFonts w:hint="eastAsia" w:ascii="宋体" w:hAnsi="宋体" w:eastAsia="宋体" w:cs="宋体"/>
                <w:color w:val="auto"/>
                <w:sz w:val="24"/>
              </w:rPr>
              <w:t>甲方（盖章）：</w:t>
            </w:r>
          </w:p>
        </w:tc>
        <w:tc>
          <w:tcPr>
            <w:tcW w:w="4459" w:type="dxa"/>
            <w:tcBorders>
              <w:tl2br w:val="nil"/>
              <w:tr2bl w:val="nil"/>
            </w:tcBorders>
            <w:noWrap w:val="0"/>
            <w:vAlign w:val="top"/>
          </w:tcPr>
          <w:p w14:paraId="68C086EA">
            <w:pPr>
              <w:spacing w:after="200" w:line="300" w:lineRule="auto"/>
              <w:rPr>
                <w:rFonts w:hint="eastAsia" w:ascii="宋体" w:hAnsi="宋体" w:eastAsia="宋体" w:cs="宋体"/>
                <w:color w:val="auto"/>
                <w:sz w:val="24"/>
                <w:szCs w:val="32"/>
                <w:vertAlign w:val="baseline"/>
              </w:rPr>
            </w:pPr>
            <w:r>
              <w:rPr>
                <w:rFonts w:hint="eastAsia" w:ascii="宋体" w:hAnsi="宋体" w:eastAsia="宋体" w:cs="宋体"/>
                <w:color w:val="auto"/>
                <w:sz w:val="24"/>
              </w:rPr>
              <w:t>乙方（签字）：</w:t>
            </w:r>
          </w:p>
        </w:tc>
      </w:tr>
      <w:tr w14:paraId="0EA8C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10" w:type="dxa"/>
            <w:tcBorders>
              <w:tl2br w:val="nil"/>
              <w:tr2bl w:val="nil"/>
            </w:tcBorders>
            <w:noWrap w:val="0"/>
            <w:vAlign w:val="top"/>
          </w:tcPr>
          <w:p w14:paraId="355D9AD0">
            <w:pPr>
              <w:spacing w:after="200" w:line="300" w:lineRule="auto"/>
              <w:rPr>
                <w:rFonts w:hint="eastAsia" w:ascii="宋体" w:hAnsi="宋体" w:eastAsia="宋体" w:cs="宋体"/>
                <w:color w:val="auto"/>
                <w:sz w:val="24"/>
              </w:rPr>
            </w:pPr>
            <w:r>
              <w:rPr>
                <w:rFonts w:hint="eastAsia" w:ascii="宋体" w:hAnsi="宋体" w:eastAsia="宋体" w:cs="宋体"/>
                <w:color w:val="auto"/>
                <w:sz w:val="24"/>
              </w:rPr>
              <w:t>法定代表人或授权代表（签字）：</w:t>
            </w:r>
          </w:p>
          <w:p w14:paraId="3B8124C9">
            <w:pPr>
              <w:spacing w:after="200" w:line="300" w:lineRule="auto"/>
              <w:rPr>
                <w:rFonts w:hint="eastAsia" w:ascii="宋体" w:hAnsi="宋体" w:eastAsia="宋体" w:cs="宋体"/>
                <w:color w:val="auto"/>
                <w:sz w:val="24"/>
                <w:lang w:val="en-US" w:eastAsia="zh-CN"/>
              </w:rPr>
            </w:pPr>
          </w:p>
        </w:tc>
        <w:tc>
          <w:tcPr>
            <w:tcW w:w="4459" w:type="dxa"/>
            <w:tcBorders>
              <w:tl2br w:val="nil"/>
              <w:tr2bl w:val="nil"/>
            </w:tcBorders>
            <w:noWrap w:val="0"/>
            <w:vAlign w:val="top"/>
          </w:tcPr>
          <w:p w14:paraId="166C22CD">
            <w:pPr>
              <w:spacing w:after="200" w:line="300" w:lineRule="auto"/>
              <w:ind w:left="432" w:hanging="432" w:hangingChars="180"/>
              <w:rPr>
                <w:rFonts w:hint="eastAsia" w:ascii="宋体" w:hAnsi="宋体" w:eastAsia="宋体" w:cs="宋体"/>
                <w:color w:val="auto"/>
                <w:sz w:val="24"/>
              </w:rPr>
            </w:pPr>
            <w:r>
              <w:rPr>
                <w:rFonts w:hint="eastAsia" w:ascii="宋体" w:hAnsi="宋体" w:eastAsia="宋体" w:cs="宋体"/>
                <w:color w:val="auto"/>
                <w:sz w:val="24"/>
              </w:rPr>
              <w:t>法定代表人或授权代表（签字）：</w:t>
            </w:r>
          </w:p>
          <w:p w14:paraId="42FD9803">
            <w:pPr>
              <w:spacing w:after="200" w:line="300" w:lineRule="auto"/>
              <w:rPr>
                <w:rFonts w:hint="eastAsia" w:ascii="宋体" w:hAnsi="宋体" w:eastAsia="宋体" w:cs="宋体"/>
                <w:color w:val="auto"/>
                <w:sz w:val="24"/>
              </w:rPr>
            </w:pPr>
          </w:p>
        </w:tc>
      </w:tr>
      <w:tr w14:paraId="2349B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10" w:type="dxa"/>
            <w:tcBorders>
              <w:tl2br w:val="nil"/>
              <w:tr2bl w:val="nil"/>
            </w:tcBorders>
            <w:noWrap w:val="0"/>
            <w:vAlign w:val="top"/>
          </w:tcPr>
          <w:p w14:paraId="29EE4F36">
            <w:pPr>
              <w:spacing w:after="200" w:line="300" w:lineRule="auto"/>
              <w:rPr>
                <w:rFonts w:hint="eastAsia" w:ascii="宋体" w:hAnsi="宋体" w:eastAsia="宋体" w:cs="宋体"/>
                <w:color w:val="auto"/>
                <w:sz w:val="24"/>
                <w:lang w:val="en-US" w:eastAsia="zh-CN"/>
              </w:rPr>
            </w:pPr>
            <w:r>
              <w:rPr>
                <w:rFonts w:hint="eastAsia" w:ascii="宋体" w:hAnsi="宋体" w:eastAsia="宋体" w:cs="宋体"/>
                <w:color w:val="auto"/>
                <w:sz w:val="24"/>
              </w:rPr>
              <w:t>日期：</w:t>
            </w:r>
            <w:r>
              <w:rPr>
                <w:rFonts w:hint="eastAsia" w:ascii="宋体" w:hAnsi="宋体" w:eastAsia="宋体" w:cs="宋体"/>
                <w:color w:val="auto"/>
                <w:sz w:val="24"/>
                <w:lang w:val="en-US" w:eastAsia="zh-CN"/>
              </w:rPr>
              <w:t xml:space="preserve">     年    月    日</w:t>
            </w:r>
          </w:p>
          <w:p w14:paraId="64B27B19">
            <w:pPr>
              <w:spacing w:after="200" w:line="300" w:lineRule="auto"/>
              <w:rPr>
                <w:rFonts w:hint="eastAsia" w:ascii="宋体" w:hAnsi="宋体" w:eastAsia="宋体" w:cs="宋体"/>
                <w:color w:val="auto"/>
                <w:sz w:val="24"/>
                <w:szCs w:val="32"/>
                <w:vertAlign w:val="baseline"/>
              </w:rPr>
            </w:pPr>
          </w:p>
        </w:tc>
        <w:tc>
          <w:tcPr>
            <w:tcW w:w="4459" w:type="dxa"/>
            <w:tcBorders>
              <w:tl2br w:val="nil"/>
              <w:tr2bl w:val="nil"/>
            </w:tcBorders>
            <w:noWrap w:val="0"/>
            <w:vAlign w:val="top"/>
          </w:tcPr>
          <w:p w14:paraId="37288B83">
            <w:pPr>
              <w:spacing w:after="200" w:line="300" w:lineRule="auto"/>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lang w:val="en-US" w:eastAsia="zh-CN"/>
              </w:rPr>
              <w:t xml:space="preserve">     年    月    日</w:t>
            </w:r>
          </w:p>
          <w:p w14:paraId="073C9AA6">
            <w:pPr>
              <w:spacing w:after="200" w:line="300" w:lineRule="auto"/>
              <w:rPr>
                <w:rFonts w:hint="eastAsia" w:ascii="宋体" w:hAnsi="宋体" w:eastAsia="宋体" w:cs="宋体"/>
                <w:color w:val="auto"/>
                <w:sz w:val="24"/>
                <w:szCs w:val="32"/>
                <w:vertAlign w:val="baseline"/>
              </w:rPr>
            </w:pPr>
          </w:p>
        </w:tc>
      </w:tr>
    </w:tbl>
    <w:p w14:paraId="68416ABB">
      <w:pPr>
        <w:keepNext w:val="0"/>
        <w:keepLines w:val="0"/>
        <w:pageBreakBefore w:val="0"/>
        <w:kinsoku/>
        <w:wordWrap/>
        <w:overflowPunct/>
        <w:topLinePunct w:val="0"/>
        <w:autoSpaceDE/>
        <w:autoSpaceDN/>
        <w:bidi w:val="0"/>
        <w:adjustRightInd/>
        <w:snapToGrid w:val="0"/>
        <w:spacing w:beforeAutospacing="0" w:line="300" w:lineRule="auto"/>
        <w:textAlignment w:val="auto"/>
        <w:rPr>
          <w:rFonts w:hint="eastAsia" w:ascii="宋体" w:hAnsi="宋体" w:eastAsia="宋体" w:cs="宋体"/>
          <w:color w:val="auto"/>
        </w:rPr>
      </w:pPr>
    </w:p>
    <w:p w14:paraId="5C61E990">
      <w:pPr>
        <w:keepNext w:val="0"/>
        <w:keepLines w:val="0"/>
        <w:pageBreakBefore w:val="0"/>
        <w:kinsoku/>
        <w:wordWrap/>
        <w:overflowPunct/>
        <w:topLinePunct w:val="0"/>
        <w:autoSpaceDE/>
        <w:autoSpaceDN/>
        <w:bidi w:val="0"/>
        <w:adjustRightInd/>
        <w:snapToGrid w:val="0"/>
        <w:spacing w:beforeAutospacing="0" w:after="200" w:line="300" w:lineRule="auto"/>
        <w:jc w:val="both"/>
        <w:textAlignment w:val="auto"/>
        <w:rPr>
          <w:rFonts w:hint="eastAsia" w:ascii="宋体" w:hAnsi="宋体" w:eastAsia="宋体" w:cs="宋体"/>
          <w:color w:val="auto"/>
          <w:sz w:val="24"/>
          <w:szCs w:val="24"/>
        </w:rPr>
      </w:pPr>
    </w:p>
    <w:p w14:paraId="74DD17F1">
      <w:pPr>
        <w:keepNext w:val="0"/>
        <w:keepLines w:val="0"/>
        <w:pageBreakBefore w:val="0"/>
        <w:widowControl w:val="0"/>
        <w:tabs>
          <w:tab w:val="left" w:pos="0"/>
          <w:tab w:val="left" w:pos="142"/>
          <w:tab w:val="left" w:pos="284"/>
          <w:tab w:val="left" w:pos="709"/>
        </w:tabs>
        <w:kinsoku/>
        <w:wordWrap/>
        <w:overflowPunct/>
        <w:topLinePunct w:val="0"/>
        <w:autoSpaceDE/>
        <w:autoSpaceDN/>
        <w:bidi w:val="0"/>
        <w:snapToGrid w:val="0"/>
        <w:spacing w:line="400" w:lineRule="exact"/>
        <w:ind w:left="0" w:firstLine="420" w:firstLineChars="200"/>
        <w:jc w:val="left"/>
        <w:textAlignment w:val="auto"/>
        <w:rPr>
          <w:rFonts w:hint="eastAsia" w:ascii="宋体" w:hAnsi="宋体" w:eastAsia="宋体" w:cs="宋体"/>
          <w:color w:val="auto"/>
          <w:sz w:val="21"/>
          <w:szCs w:val="21"/>
        </w:rPr>
      </w:pPr>
    </w:p>
    <w:p w14:paraId="633F9EB0">
      <w:pPr>
        <w:keepNext w:val="0"/>
        <w:keepLines w:val="0"/>
        <w:pageBreakBefore w:val="0"/>
        <w:widowControl w:val="0"/>
        <w:tabs>
          <w:tab w:val="left" w:pos="0"/>
          <w:tab w:val="left" w:pos="142"/>
          <w:tab w:val="left" w:pos="284"/>
          <w:tab w:val="left" w:pos="709"/>
        </w:tabs>
        <w:kinsoku/>
        <w:wordWrap/>
        <w:overflowPunct/>
        <w:topLinePunct w:val="0"/>
        <w:autoSpaceDE/>
        <w:autoSpaceDN/>
        <w:bidi w:val="0"/>
        <w:snapToGrid w:val="0"/>
        <w:spacing w:line="400" w:lineRule="exact"/>
        <w:ind w:left="0" w:firstLine="420" w:firstLineChars="200"/>
        <w:jc w:val="left"/>
        <w:textAlignment w:val="auto"/>
        <w:rPr>
          <w:rFonts w:hint="eastAsia" w:ascii="宋体" w:hAnsi="宋体" w:eastAsia="宋体" w:cs="宋体"/>
          <w:color w:val="auto"/>
          <w:sz w:val="21"/>
          <w:szCs w:val="21"/>
        </w:rPr>
      </w:pPr>
    </w:p>
    <w:p w14:paraId="398D5128">
      <w:pPr>
        <w:pStyle w:val="5"/>
        <w:ind w:left="0" w:leftChars="0" w:right="1470"/>
        <w:jc w:val="center"/>
        <w:outlineLvl w:val="0"/>
        <w:rPr>
          <w:rStyle w:val="13"/>
          <w:rFonts w:hint="eastAsia" w:ascii="宋体" w:hAnsi="宋体" w:cs="宋体"/>
          <w:color w:val="auto"/>
          <w:sz w:val="28"/>
          <w:szCs w:val="21"/>
          <w:highlight w:val="none"/>
        </w:rPr>
      </w:pPr>
      <w:bookmarkStart w:id="0" w:name="_Toc8286"/>
      <w:r>
        <w:rPr>
          <w:rStyle w:val="13"/>
          <w:rFonts w:hint="eastAsia" w:ascii="宋体" w:hAnsi="宋体" w:cs="宋体"/>
          <w:color w:val="auto"/>
          <w:sz w:val="28"/>
          <w:szCs w:val="21"/>
          <w:highlight w:val="none"/>
        </w:rPr>
        <w:t xml:space="preserve">   </w:t>
      </w:r>
      <w:r>
        <w:rPr>
          <w:rStyle w:val="12"/>
          <w:rFonts w:hint="eastAsia" w:ascii="宋体" w:hAnsi="宋体" w:eastAsia="宋体" w:cs="宋体"/>
          <w:color w:val="auto"/>
          <w:highlight w:val="none"/>
        </w:rPr>
        <w:t xml:space="preserve">   </w:t>
      </w:r>
      <w:r>
        <w:rPr>
          <w:rStyle w:val="12"/>
          <w:rFonts w:hint="eastAsia" w:ascii="宋体" w:hAnsi="宋体" w:eastAsia="宋体" w:cs="宋体"/>
          <w:color w:val="auto"/>
          <w:szCs w:val="28"/>
          <w:highlight w:val="none"/>
        </w:rPr>
        <w:t xml:space="preserve"> </w:t>
      </w:r>
    </w:p>
    <w:bookmarkEnd w:id="0"/>
    <w:p w14:paraId="5CC626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A5F9B"/>
    <w:multiLevelType w:val="multilevel"/>
    <w:tmpl w:val="40BA5F9B"/>
    <w:lvl w:ilvl="0" w:tentative="0">
      <w:start w:val="1"/>
      <w:numFmt w:val="chineseCountingThousand"/>
      <w:lvlText w:val="第%1条"/>
      <w:lvlJc w:val="center"/>
      <w:pPr>
        <w:tabs>
          <w:tab w:val="left" w:pos="2831"/>
        </w:tabs>
        <w:ind w:left="2689" w:hanging="137"/>
      </w:pPr>
      <w:rPr>
        <w:rFonts w:hint="default" w:ascii="Times New Roman" w:hAnsi="Times New Roman" w:eastAsia="宋体" w:cs="Times New Roman"/>
        <w:b/>
        <w:i w:val="0"/>
        <w:sz w:val="24"/>
      </w:rPr>
    </w:lvl>
    <w:lvl w:ilvl="1" w:tentative="0">
      <w:start w:val="1"/>
      <w:numFmt w:val="decimal"/>
      <w:isLgl/>
      <w:lvlText w:val="%1.%2"/>
      <w:lvlJc w:val="left"/>
      <w:pPr>
        <w:tabs>
          <w:tab w:val="left" w:pos="567"/>
        </w:tabs>
        <w:ind w:left="567" w:hanging="567"/>
      </w:pPr>
      <w:rPr>
        <w:rFonts w:hint="default" w:ascii="Times New Roman" w:hAnsi="Times New Roman" w:eastAsia="宋体" w:cs="Times New Roman"/>
        <w:b w:val="0"/>
        <w:i w:val="0"/>
        <w:sz w:val="24"/>
      </w:rPr>
    </w:lvl>
    <w:lvl w:ilvl="2" w:tentative="0">
      <w:start w:val="1"/>
      <w:numFmt w:val="decimal"/>
      <w:isLgl/>
      <w:lvlText w:val="%1.%2.%3"/>
      <w:lvlJc w:val="left"/>
      <w:pPr>
        <w:tabs>
          <w:tab w:val="left" w:pos="1134"/>
        </w:tabs>
        <w:ind w:left="1134" w:hanging="567"/>
      </w:pPr>
      <w:rPr>
        <w:rFonts w:hint="default" w:ascii="Times New Roman" w:hAnsi="Times New Roman" w:eastAsia="宋体" w:cs="Times New Roman"/>
        <w:b w:val="0"/>
        <w:i w:val="0"/>
        <w:sz w:val="24"/>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32B68"/>
    <w:rsid w:val="0FB02D4D"/>
    <w:rsid w:val="43832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link w:val="12"/>
    <w:qFormat/>
    <w:uiPriority w:val="0"/>
    <w:pPr>
      <w:keepNext/>
      <w:keepLines/>
      <w:spacing w:before="260" w:beforeLines="0" w:after="260" w:afterLines="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lock Text"/>
    <w:basedOn w:val="1"/>
    <w:next w:val="6"/>
    <w:qFormat/>
    <w:uiPriority w:val="99"/>
    <w:pPr>
      <w:spacing w:after="120"/>
      <w:ind w:left="1440" w:leftChars="700" w:right="1440" w:rightChars="700"/>
    </w:pPr>
  </w:style>
  <w:style w:type="paragraph" w:styleId="6">
    <w:name w:val="Plain Text"/>
    <w:basedOn w:val="1"/>
    <w:next w:val="7"/>
    <w:qFormat/>
    <w:uiPriority w:val="0"/>
    <w:rPr>
      <w:rFonts w:ascii="宋体" w:hAnsi="Courier New"/>
      <w:szCs w:val="20"/>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标题 2 Char"/>
    <w:link w:val="3"/>
    <w:qFormat/>
    <w:uiPriority w:val="0"/>
    <w:rPr>
      <w:rFonts w:ascii="Arial" w:hAnsi="Arial" w:eastAsia="黑体"/>
      <w:b/>
      <w:bCs/>
      <w:sz w:val="32"/>
      <w:szCs w:val="32"/>
    </w:rPr>
  </w:style>
  <w:style w:type="character" w:customStyle="1" w:styleId="13">
    <w:name w:val="标题 1 Char"/>
    <w:link w:val="2"/>
    <w:qFormat/>
    <w:uiPriority w:val="0"/>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2025-09-22T09:07:00Z</dcterms:created>
  <dc:creator>知非</dc:creator>
  <cp:lastModifiedBy>知非</cp:lastModifiedBy>
  <dcterms:modified xsi:type="dcterms:W3CDTF">2025-09-22T09:10:12Z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837CE7E75E9F487AB51BF4B78D118EB9_11</vt:lpwstr>
  </property>
  <property fmtid="{D5CDD505-2E9C-101B-9397-08002B2CF9AE}" pid="4" name="KSOTemplateDocerSaveRecord">
    <vt:lpwstr>eyJoZGlkIjoiN2JjYjc0YzYwNjMwMTdiNDFmZTQ5YjYxNzNmZmRkMzQiLCJ1c2VySWQiOiIxMjQ0ODk5OTM5In0=</vt:lpwstr>
  </property>
</Properties>
</file>