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版本号：YAZBTC2025-03020250919001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市级机关局域网出口备用线路租赁项目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YAZBTC2025-030</w:t>
      </w:r>
      <w:r>
        <w:br/>
      </w:r>
      <w:r>
        <w:br/>
      </w:r>
      <w:r>
        <w:br/>
      </w:r>
    </w:p>
    <w:p>
      <w:pPr>
        <w:pStyle w:val="null3"/>
        <w:jc w:val="center"/>
        <w:outlineLvl w:val="5"/>
      </w:pPr>
      <w:r>
        <w:rPr>
          <w:rFonts w:ascii="仿宋_GB2312" w:hAnsi="仿宋_GB2312" w:cs="仿宋_GB2312" w:eastAsia="仿宋_GB2312"/>
          <w:sz w:val="15"/>
          <w:b/>
        </w:rPr>
        <w:t>铜川市数据中心</w:t>
      </w:r>
    </w:p>
    <w:p>
      <w:pPr>
        <w:pStyle w:val="null3"/>
        <w:jc w:val="center"/>
        <w:outlineLvl w:val="5"/>
      </w:pPr>
      <w:r>
        <w:rPr>
          <w:rFonts w:ascii="仿宋_GB2312" w:hAnsi="仿宋_GB2312" w:cs="仿宋_GB2312" w:eastAsia="仿宋_GB2312"/>
          <w:sz w:val="15"/>
          <w:b/>
        </w:rPr>
        <w:t>镱安项目管理有限公司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镱安项目管理有限公司</w:t>
      </w:r>
      <w:r>
        <w:rPr>
          <w:rFonts w:ascii="仿宋_GB2312" w:hAnsi="仿宋_GB2312" w:cs="仿宋_GB2312" w:eastAsia="仿宋_GB2312"/>
        </w:rPr>
        <w:t>（以下简称“代理机构”）受</w:t>
      </w:r>
      <w:r>
        <w:rPr>
          <w:rFonts w:ascii="仿宋_GB2312" w:hAnsi="仿宋_GB2312" w:cs="仿宋_GB2312" w:eastAsia="仿宋_GB2312"/>
        </w:rPr>
        <w:t>铜川市数据中心</w:t>
      </w:r>
      <w:r>
        <w:rPr>
          <w:rFonts w:ascii="仿宋_GB2312" w:hAnsi="仿宋_GB2312" w:cs="仿宋_GB2312" w:eastAsia="仿宋_GB2312"/>
        </w:rPr>
        <w:t>委托，拟对</w:t>
      </w:r>
      <w:r>
        <w:rPr>
          <w:rFonts w:ascii="仿宋_GB2312" w:hAnsi="仿宋_GB2312" w:cs="仿宋_GB2312" w:eastAsia="仿宋_GB2312"/>
        </w:rPr>
        <w:t>市级机关局域网出口备用线路租赁项目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YAZBTC2025-030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市级机关局域网出口备用线路租赁项目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铜川市级机关局域网出口备用线路租赁项目服务及产品包含：互联网出口电路， 电路带宽为 1G，IPV4 地址 40 个，可用 64 位IPV6 地址等。</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1、供应商是法人（单位负责人） 或其 他组织的应提供营 业执 照等证明文件：具有独立承担民事责任的能力，提供法人（单位负责人）或者其他组织的营业执照等证明 文 件， 自然人参与的提供其有效身份证明；</w:t>
      </w:r>
    </w:p>
    <w:p>
      <w:pPr>
        <w:pStyle w:val="null3"/>
      </w:pPr>
      <w:r>
        <w:rPr>
          <w:rFonts w:ascii="仿宋_GB2312" w:hAnsi="仿宋_GB2312" w:cs="仿宋_GB2312" w:eastAsia="仿宋_GB2312"/>
        </w:rPr>
        <w:t>2、承诺及说明：具有履行合同所必需的设备和专业技术能力的 承诺及说明；</w:t>
      </w:r>
    </w:p>
    <w:p>
      <w:pPr>
        <w:pStyle w:val="null3"/>
      </w:pPr>
      <w:r>
        <w:rPr>
          <w:rFonts w:ascii="仿宋_GB2312" w:hAnsi="仿宋_GB2312" w:cs="仿宋_GB2312" w:eastAsia="仿宋_GB2312"/>
        </w:rPr>
        <w:t>3、税收交纳证明、社会保障资金 交纳 证明：依法缴纳税收和社会保障资金相关材料（提供 文件递交 截止日近一年内任意2个月）；</w:t>
      </w:r>
    </w:p>
    <w:p>
      <w:pPr>
        <w:pStyle w:val="null3"/>
      </w:pPr>
      <w:r>
        <w:rPr>
          <w:rFonts w:ascii="仿宋_GB2312" w:hAnsi="仿宋_GB2312" w:cs="仿宋_GB2312" w:eastAsia="仿宋_GB2312"/>
        </w:rPr>
        <w:t>4、财务状况报告：供应商需提2024年度财务审计报告或提供文件 递交截止日前三个月内从基本户银行开具 的资信证明；</w:t>
      </w:r>
    </w:p>
    <w:p>
      <w:pPr>
        <w:pStyle w:val="null3"/>
      </w:pPr>
      <w:r>
        <w:rPr>
          <w:rFonts w:ascii="仿宋_GB2312" w:hAnsi="仿宋_GB2312" w:cs="仿宋_GB2312" w:eastAsia="仿宋_GB2312"/>
        </w:rPr>
        <w:t>5、法定代表人（单位负责人）授 权书 /法定代表人（单位负责 人）身份 证明：法定代表人（单位负责人）参加单一来源采购须出具法定代表人（单位负责人）身份证明 （ 并附有效证件），被授权代理人参加单一来源采购须出具法定代表人（单位负责人）授 权书 及被授权人有效证件；</w:t>
      </w:r>
    </w:p>
    <w:p>
      <w:pPr>
        <w:pStyle w:val="null3"/>
      </w:pPr>
      <w:r>
        <w:rPr>
          <w:rFonts w:ascii="仿宋_GB2312" w:hAnsi="仿宋_GB2312" w:cs="仿宋_GB2312" w:eastAsia="仿宋_GB2312"/>
        </w:rPr>
        <w:t>6、书面声明：供应商出具本企业参加政府采购活动前三年内 经营活动 中没有重大违法记录的书面声明 ；</w:t>
      </w:r>
    </w:p>
    <w:p>
      <w:pPr>
        <w:pStyle w:val="null3"/>
      </w:pPr>
      <w:r>
        <w:rPr>
          <w:rFonts w:ascii="仿宋_GB2312" w:hAnsi="仿宋_GB2312" w:cs="仿宋_GB2312" w:eastAsia="仿宋_GB2312"/>
        </w:rPr>
        <w:t>7、信用查询：供应商不得为“信用中国” 中列入失信被执行人和重大税 收违法案件当事人名单的供应商 ，不得为“ 中国政府采 购网” 政府采购严重违法失信行为记录名单中被财政部门禁止参加 政府采购 活动的供应商；</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铜川市数据中心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铜川市正阳路9号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18091961024</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镱安项目管理有限公司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陕西省西安市新城区陕西省西安市新城区石家街127号东岸国际17层1702室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17392571006</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采购包1：334,200.00元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采购包1：334,200.00元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代理服务费收费标准：以成交金额为基数，参照国家计委关于印发《招标代理服务收费管理暂 行办法》的通知(计价格〔2002〕1980号）及《国家发展改革委办公厅关于招标代理服务收费 有关问题的通知》（发改办价格〔2003〕857号）文件规定的标准收取。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铜川市数据中心</w:t>
      </w:r>
      <w:r>
        <w:rPr>
          <w:rFonts w:ascii="仿宋_GB2312" w:hAnsi="仿宋_GB2312" w:cs="仿宋_GB2312" w:eastAsia="仿宋_GB2312"/>
        </w:rPr>
        <w:t>和</w:t>
      </w:r>
      <w:r>
        <w:rPr>
          <w:rFonts w:ascii="仿宋_GB2312" w:hAnsi="仿宋_GB2312" w:cs="仿宋_GB2312" w:eastAsia="仿宋_GB2312"/>
        </w:rPr>
        <w:t>镱安项目管理有限公司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镱安项目管理有限公司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铜川市数据中心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镱安项目管理有限公司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镱安项目管理有限公司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镱安项目管理有限公司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铜川市级机关局域网出口备用线路租赁项目服务及产品包含：互联网出口电路， 电路带宽为 1G，IPV4 地址 40 个，可用 64 位IPV6 地址等。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334,200.00</w:t>
      </w:r>
    </w:p>
    <w:p>
      <w:pPr>
        <w:pStyle w:val="null3"/>
      </w:pPr>
      <w:r>
        <w:rPr>
          <w:rFonts w:ascii="仿宋_GB2312" w:hAnsi="仿宋_GB2312" w:cs="仿宋_GB2312" w:eastAsia="仿宋_GB2312"/>
        </w:rPr>
        <w:t>采购包最高限价（元）: 334,200.00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市级机关局域网出口备用线路租赁项目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334,200.00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标的名称：市级机关局域网出口备用线路租赁项目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30"/>
              <w:ind w:left="1035"/>
              <w:jc w:val="left"/>
              <w:outlineLvl w:val="1"/>
            </w:pPr>
            <w:r>
              <w:rPr>
                <w:rFonts w:ascii="仿宋_GB2312" w:hAnsi="仿宋_GB2312" w:cs="仿宋_GB2312" w:eastAsia="仿宋_GB2312"/>
                <w:sz w:val="28"/>
                <w:b/>
              </w:rPr>
              <w:t>铜川市级机关局域网出口备用线路租赁项目</w:t>
            </w:r>
            <w:r>
              <w:rPr>
                <w:rFonts w:ascii="仿宋_GB2312" w:hAnsi="仿宋_GB2312" w:cs="仿宋_GB2312" w:eastAsia="仿宋_GB2312"/>
                <w:sz w:val="28"/>
                <w:b/>
              </w:rPr>
              <w:t>采购</w:t>
            </w:r>
            <w:r>
              <w:rPr>
                <w:rFonts w:ascii="仿宋_GB2312" w:hAnsi="仿宋_GB2312" w:cs="仿宋_GB2312" w:eastAsia="仿宋_GB2312"/>
                <w:sz w:val="28"/>
                <w:b/>
              </w:rPr>
              <w:t>需求</w:t>
            </w:r>
          </w:p>
          <w:p>
            <w:pPr>
              <w:pStyle w:val="null3"/>
              <w:spacing w:before="15"/>
              <w:jc w:val="left"/>
            </w:pPr>
            <w:r>
              <w:rPr>
                <w:rFonts w:ascii="仿宋_GB2312" w:hAnsi="仿宋_GB2312" w:cs="仿宋_GB2312" w:eastAsia="仿宋_GB2312"/>
                <w:sz w:val="24"/>
                <w:b/>
              </w:rPr>
              <w:t>一、项目概况</w:t>
            </w:r>
          </w:p>
          <w:p>
            <w:pPr>
              <w:pStyle w:val="null3"/>
              <w:ind w:left="120" w:right="525" w:firstLine="559"/>
              <w:jc w:val="both"/>
            </w:pPr>
            <w:r>
              <w:rPr>
                <w:rFonts w:ascii="仿宋_GB2312" w:hAnsi="仿宋_GB2312" w:cs="仿宋_GB2312" w:eastAsia="仿宋_GB2312"/>
                <w:sz w:val="24"/>
              </w:rPr>
              <w:t>铜川市级机关局域网出口备用线路租赁项目</w:t>
            </w:r>
            <w:r>
              <w:rPr>
                <w:rFonts w:ascii="仿宋_GB2312" w:hAnsi="仿宋_GB2312" w:cs="仿宋_GB2312" w:eastAsia="仿宋_GB2312"/>
                <w:sz w:val="24"/>
              </w:rPr>
              <w:t>服务及产品</w:t>
            </w:r>
            <w:r>
              <w:rPr>
                <w:rFonts w:ascii="仿宋_GB2312" w:hAnsi="仿宋_GB2312" w:cs="仿宋_GB2312" w:eastAsia="仿宋_GB2312"/>
                <w:sz w:val="24"/>
              </w:rPr>
              <w:t>包含</w:t>
            </w:r>
            <w:r>
              <w:rPr>
                <w:rFonts w:ascii="仿宋_GB2312" w:hAnsi="仿宋_GB2312" w:cs="仿宋_GB2312" w:eastAsia="仿宋_GB2312"/>
                <w:sz w:val="24"/>
              </w:rPr>
              <w:t>：互联网出口电路，</w:t>
            </w:r>
            <w:r>
              <w:rPr>
                <w:rFonts w:ascii="仿宋_GB2312" w:hAnsi="仿宋_GB2312" w:cs="仿宋_GB2312" w:eastAsia="仿宋_GB2312"/>
                <w:sz w:val="24"/>
              </w:rPr>
              <w:t>电路带宽为</w:t>
            </w:r>
            <w:r>
              <w:rPr>
                <w:rFonts w:ascii="仿宋_GB2312" w:hAnsi="仿宋_GB2312" w:cs="仿宋_GB2312" w:eastAsia="仿宋_GB2312"/>
                <w:sz w:val="24"/>
              </w:rPr>
              <w:t>1G，IPV4</w:t>
            </w:r>
            <w:r>
              <w:rPr>
                <w:rFonts w:ascii="仿宋_GB2312" w:hAnsi="仿宋_GB2312" w:cs="仿宋_GB2312" w:eastAsia="仿宋_GB2312"/>
                <w:sz w:val="24"/>
              </w:rPr>
              <w:t xml:space="preserve"> </w:t>
            </w:r>
            <w:r>
              <w:rPr>
                <w:rFonts w:ascii="仿宋_GB2312" w:hAnsi="仿宋_GB2312" w:cs="仿宋_GB2312" w:eastAsia="仿宋_GB2312"/>
                <w:sz w:val="24"/>
              </w:rPr>
              <w:t>地址</w:t>
            </w:r>
            <w:r>
              <w:rPr>
                <w:rFonts w:ascii="仿宋_GB2312" w:hAnsi="仿宋_GB2312" w:cs="仿宋_GB2312" w:eastAsia="仿宋_GB2312"/>
                <w:sz w:val="24"/>
              </w:rPr>
              <w:t>40</w:t>
            </w:r>
            <w:r>
              <w:rPr>
                <w:rFonts w:ascii="仿宋_GB2312" w:hAnsi="仿宋_GB2312" w:cs="仿宋_GB2312" w:eastAsia="仿宋_GB2312"/>
                <w:sz w:val="24"/>
              </w:rPr>
              <w:t xml:space="preserve"> </w:t>
            </w:r>
            <w:r>
              <w:rPr>
                <w:rFonts w:ascii="仿宋_GB2312" w:hAnsi="仿宋_GB2312" w:cs="仿宋_GB2312" w:eastAsia="仿宋_GB2312"/>
                <w:sz w:val="24"/>
              </w:rPr>
              <w:t>个，可用</w:t>
            </w:r>
            <w:r>
              <w:rPr>
                <w:rFonts w:ascii="仿宋_GB2312" w:hAnsi="仿宋_GB2312" w:cs="仿宋_GB2312" w:eastAsia="仿宋_GB2312"/>
                <w:sz w:val="24"/>
              </w:rPr>
              <w:t>64</w:t>
            </w:r>
            <w:r>
              <w:rPr>
                <w:rFonts w:ascii="仿宋_GB2312" w:hAnsi="仿宋_GB2312" w:cs="仿宋_GB2312" w:eastAsia="仿宋_GB2312"/>
                <w:sz w:val="24"/>
              </w:rPr>
              <w:t xml:space="preserve"> </w:t>
            </w:r>
            <w:r>
              <w:rPr>
                <w:rFonts w:ascii="仿宋_GB2312" w:hAnsi="仿宋_GB2312" w:cs="仿宋_GB2312" w:eastAsia="仿宋_GB2312"/>
                <w:sz w:val="24"/>
              </w:rPr>
              <w:t>位</w:t>
            </w:r>
            <w:r>
              <w:rPr>
                <w:rFonts w:ascii="仿宋_GB2312" w:hAnsi="仿宋_GB2312" w:cs="仿宋_GB2312" w:eastAsia="仿宋_GB2312"/>
                <w:sz w:val="24"/>
              </w:rPr>
              <w:t>IPV6</w:t>
            </w:r>
            <w:r>
              <w:rPr>
                <w:rFonts w:ascii="仿宋_GB2312" w:hAnsi="仿宋_GB2312" w:cs="仿宋_GB2312" w:eastAsia="仿宋_GB2312"/>
                <w:sz w:val="24"/>
              </w:rPr>
              <w:t xml:space="preserve"> </w:t>
            </w:r>
            <w:r>
              <w:rPr>
                <w:rFonts w:ascii="仿宋_GB2312" w:hAnsi="仿宋_GB2312" w:cs="仿宋_GB2312" w:eastAsia="仿宋_GB2312"/>
                <w:sz w:val="24"/>
              </w:rPr>
              <w:t>地址</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left="120" w:right="660" w:firstLine="559"/>
              <w:jc w:val="left"/>
            </w:pPr>
            <w:r>
              <w:rPr>
                <w:rFonts w:ascii="仿宋_GB2312" w:hAnsi="仿宋_GB2312" w:cs="仿宋_GB2312" w:eastAsia="仿宋_GB2312"/>
                <w:sz w:val="24"/>
              </w:rPr>
              <w:t>为铜川铜川市数据中心提供</w:t>
            </w:r>
            <w:r>
              <w:rPr>
                <w:rFonts w:ascii="仿宋_GB2312" w:hAnsi="仿宋_GB2312" w:cs="仿宋_GB2312" w:eastAsia="仿宋_GB2312"/>
                <w:sz w:val="24"/>
              </w:rPr>
              <w:t>1</w:t>
            </w:r>
            <w:r>
              <w:rPr>
                <w:rFonts w:ascii="仿宋_GB2312" w:hAnsi="仿宋_GB2312" w:cs="仿宋_GB2312" w:eastAsia="仿宋_GB2312"/>
                <w:sz w:val="24"/>
              </w:rPr>
              <w:t xml:space="preserve"> </w:t>
            </w:r>
            <w:r>
              <w:rPr>
                <w:rFonts w:ascii="仿宋_GB2312" w:hAnsi="仿宋_GB2312" w:cs="仿宋_GB2312" w:eastAsia="仿宋_GB2312"/>
                <w:sz w:val="24"/>
              </w:rPr>
              <w:t>条</w:t>
            </w:r>
            <w:r>
              <w:rPr>
                <w:rFonts w:ascii="仿宋_GB2312" w:hAnsi="仿宋_GB2312" w:cs="仿宋_GB2312" w:eastAsia="仿宋_GB2312"/>
                <w:sz w:val="24"/>
              </w:rPr>
              <w:t>GE</w:t>
            </w:r>
            <w:r>
              <w:rPr>
                <w:rFonts w:ascii="仿宋_GB2312" w:hAnsi="仿宋_GB2312" w:cs="仿宋_GB2312" w:eastAsia="仿宋_GB2312"/>
                <w:sz w:val="24"/>
              </w:rPr>
              <w:t xml:space="preserve"> </w:t>
            </w:r>
            <w:r>
              <w:rPr>
                <w:rFonts w:ascii="仿宋_GB2312" w:hAnsi="仿宋_GB2312" w:cs="仿宋_GB2312" w:eastAsia="仿宋_GB2312"/>
                <w:sz w:val="24"/>
              </w:rPr>
              <w:t>电路，由移动生产楼数据机</w:t>
            </w:r>
            <w:r>
              <w:rPr>
                <w:rFonts w:ascii="仿宋_GB2312" w:hAnsi="仿宋_GB2312" w:cs="仿宋_GB2312" w:eastAsia="仿宋_GB2312"/>
                <w:sz w:val="24"/>
              </w:rPr>
              <w:t>房城域网设备</w:t>
            </w:r>
            <w:r>
              <w:rPr>
                <w:rFonts w:ascii="仿宋_GB2312" w:hAnsi="仿宋_GB2312" w:cs="仿宋_GB2312" w:eastAsia="仿宋_GB2312"/>
                <w:sz w:val="24"/>
              </w:rPr>
              <w:t>SR(型号 NE40E-X16)</w:t>
            </w:r>
            <w:r>
              <w:rPr>
                <w:rFonts w:ascii="仿宋_GB2312" w:hAnsi="仿宋_GB2312" w:cs="仿宋_GB2312" w:eastAsia="仿宋_GB2312"/>
                <w:sz w:val="24"/>
              </w:rPr>
              <w:t>设备提供一个</w:t>
            </w:r>
            <w:r>
              <w:rPr>
                <w:rFonts w:ascii="仿宋_GB2312" w:hAnsi="仿宋_GB2312" w:cs="仿宋_GB2312" w:eastAsia="仿宋_GB2312"/>
                <w:sz w:val="24"/>
              </w:rPr>
              <w:t>10GE</w:t>
            </w:r>
            <w:r>
              <w:rPr>
                <w:rFonts w:ascii="仿宋_GB2312" w:hAnsi="仿宋_GB2312" w:cs="仿宋_GB2312" w:eastAsia="仿宋_GB2312"/>
                <w:sz w:val="24"/>
              </w:rPr>
              <w:t xml:space="preserve"> </w:t>
            </w:r>
            <w:r>
              <w:rPr>
                <w:rFonts w:ascii="仿宋_GB2312" w:hAnsi="仿宋_GB2312" w:cs="仿宋_GB2312" w:eastAsia="仿宋_GB2312"/>
                <w:sz w:val="24"/>
              </w:rPr>
              <w:t>光接口，通过</w:t>
            </w:r>
            <w:r>
              <w:rPr>
                <w:rFonts w:ascii="仿宋_GB2312" w:hAnsi="仿宋_GB2312" w:cs="仿宋_GB2312" w:eastAsia="仿宋_GB2312"/>
                <w:sz w:val="24"/>
              </w:rPr>
              <w:t>裸光纤连接铜川市数据中心出口路由器。同时根据铜川市数据中心需</w:t>
            </w:r>
            <w:r>
              <w:rPr>
                <w:rFonts w:ascii="仿宋_GB2312" w:hAnsi="仿宋_GB2312" w:cs="仿宋_GB2312" w:eastAsia="仿宋_GB2312"/>
                <w:sz w:val="24"/>
              </w:rPr>
              <w:t>求提供互联网出口电路，电路带宽为</w:t>
            </w:r>
            <w:r>
              <w:rPr>
                <w:rFonts w:ascii="仿宋_GB2312" w:hAnsi="仿宋_GB2312" w:cs="仿宋_GB2312" w:eastAsia="仿宋_GB2312"/>
                <w:sz w:val="24"/>
              </w:rPr>
              <w:t>1G，IPV4</w:t>
            </w:r>
            <w:r>
              <w:rPr>
                <w:rFonts w:ascii="仿宋_GB2312" w:hAnsi="仿宋_GB2312" w:cs="仿宋_GB2312" w:eastAsia="仿宋_GB2312"/>
                <w:sz w:val="24"/>
              </w:rPr>
              <w:t xml:space="preserve"> </w:t>
            </w:r>
            <w:r>
              <w:rPr>
                <w:rFonts w:ascii="仿宋_GB2312" w:hAnsi="仿宋_GB2312" w:cs="仿宋_GB2312" w:eastAsia="仿宋_GB2312"/>
                <w:sz w:val="24"/>
              </w:rPr>
              <w:t>地址</w:t>
            </w:r>
            <w:r>
              <w:rPr>
                <w:rFonts w:ascii="仿宋_GB2312" w:hAnsi="仿宋_GB2312" w:cs="仿宋_GB2312" w:eastAsia="仿宋_GB2312"/>
                <w:sz w:val="24"/>
              </w:rPr>
              <w:t>40</w:t>
            </w:r>
            <w:r>
              <w:rPr>
                <w:rFonts w:ascii="仿宋_GB2312" w:hAnsi="仿宋_GB2312" w:cs="仿宋_GB2312" w:eastAsia="仿宋_GB2312"/>
                <w:sz w:val="24"/>
              </w:rPr>
              <w:t xml:space="preserve"> </w:t>
            </w:r>
            <w:r>
              <w:rPr>
                <w:rFonts w:ascii="仿宋_GB2312" w:hAnsi="仿宋_GB2312" w:cs="仿宋_GB2312" w:eastAsia="仿宋_GB2312"/>
                <w:sz w:val="24"/>
              </w:rPr>
              <w:t>个，可用</w:t>
            </w:r>
            <w:r>
              <w:rPr>
                <w:rFonts w:ascii="仿宋_GB2312" w:hAnsi="仿宋_GB2312" w:cs="仿宋_GB2312" w:eastAsia="仿宋_GB2312"/>
                <w:sz w:val="24"/>
              </w:rPr>
              <w:t xml:space="preserve">64 </w:t>
            </w:r>
            <w:r>
              <w:rPr>
                <w:rFonts w:ascii="仿宋_GB2312" w:hAnsi="仿宋_GB2312" w:cs="仿宋_GB2312" w:eastAsia="仿宋_GB2312"/>
                <w:sz w:val="24"/>
              </w:rPr>
              <w:t>位</w:t>
            </w:r>
            <w:r>
              <w:rPr>
                <w:rFonts w:ascii="仿宋_GB2312" w:hAnsi="仿宋_GB2312" w:cs="仿宋_GB2312" w:eastAsia="仿宋_GB2312"/>
                <w:sz w:val="24"/>
              </w:rPr>
              <w:t>IPV6</w:t>
            </w:r>
            <w:r>
              <w:rPr>
                <w:rFonts w:ascii="仿宋_GB2312" w:hAnsi="仿宋_GB2312" w:cs="仿宋_GB2312" w:eastAsia="仿宋_GB2312"/>
                <w:sz w:val="24"/>
              </w:rPr>
              <w:t xml:space="preserve"> </w:t>
            </w:r>
            <w:r>
              <w:rPr>
                <w:rFonts w:ascii="仿宋_GB2312" w:hAnsi="仿宋_GB2312" w:cs="仿宋_GB2312" w:eastAsia="仿宋_GB2312"/>
                <w:sz w:val="24"/>
              </w:rPr>
              <w:t>地址，用于政府网站部署机关部门网站，并提供技术支撑。</w:t>
            </w:r>
          </w:p>
          <w:p>
            <w:pPr>
              <w:pStyle w:val="null3"/>
              <w:jc w:val="left"/>
              <w:outlineLvl w:val="1"/>
            </w:pPr>
            <w:r>
              <w:rPr>
                <w:rFonts w:ascii="仿宋_GB2312" w:hAnsi="仿宋_GB2312" w:cs="仿宋_GB2312" w:eastAsia="仿宋_GB2312"/>
                <w:sz w:val="24"/>
                <w:b/>
              </w:rPr>
              <w:t>二</w:t>
            </w:r>
            <w:r>
              <w:rPr>
                <w:rFonts w:ascii="仿宋_GB2312" w:hAnsi="仿宋_GB2312" w:cs="仿宋_GB2312" w:eastAsia="仿宋_GB2312"/>
                <w:sz w:val="24"/>
                <w:b/>
              </w:rPr>
              <w:t>、服务要求</w:t>
            </w:r>
          </w:p>
          <w:p>
            <w:pPr>
              <w:pStyle w:val="null3"/>
              <w:spacing w:before="15"/>
              <w:jc w:val="left"/>
            </w:pPr>
            <w:r>
              <w:rPr>
                <w:rFonts w:ascii="仿宋_GB2312" w:hAnsi="仿宋_GB2312" w:cs="仿宋_GB2312" w:eastAsia="仿宋_GB2312"/>
                <w:sz w:val="24"/>
              </w:rPr>
              <w:t>为保障铜川市数据中心网络安全，有效预防和处理线路故障，确保铜川市数据中心线路的安全运行，服务方应成立了专门的项目服务</w:t>
            </w:r>
            <w:r>
              <w:rPr>
                <w:rFonts w:ascii="仿宋_GB2312" w:hAnsi="仿宋_GB2312" w:cs="仿宋_GB2312" w:eastAsia="仿宋_GB2312"/>
                <w:sz w:val="24"/>
              </w:rPr>
              <w:t>小组，做到专人维护，服务电话</w:t>
            </w:r>
            <w:r>
              <w:rPr>
                <w:rFonts w:ascii="仿宋_GB2312" w:hAnsi="仿宋_GB2312" w:cs="仿宋_GB2312" w:eastAsia="仿宋_GB2312"/>
                <w:sz w:val="24"/>
              </w:rPr>
              <w:t>7×24</w:t>
            </w:r>
            <w:r>
              <w:rPr>
                <w:rFonts w:ascii="仿宋_GB2312" w:hAnsi="仿宋_GB2312" w:cs="仿宋_GB2312" w:eastAsia="仿宋_GB2312"/>
                <w:sz w:val="24"/>
              </w:rPr>
              <w:t xml:space="preserve"> </w:t>
            </w:r>
            <w:r>
              <w:rPr>
                <w:rFonts w:ascii="仿宋_GB2312" w:hAnsi="仿宋_GB2312" w:cs="仿宋_GB2312" w:eastAsia="仿宋_GB2312"/>
                <w:sz w:val="24"/>
              </w:rPr>
              <w:t>小时保持畅通，对客户的需求</w:t>
            </w:r>
            <w:r>
              <w:rPr>
                <w:rFonts w:ascii="仿宋_GB2312" w:hAnsi="仿宋_GB2312" w:cs="仿宋_GB2312" w:eastAsia="仿宋_GB2312"/>
                <w:sz w:val="24"/>
              </w:rPr>
              <w:t>作出及时响应，并负责联络有关技术人员，解决客户所提问题。</w:t>
            </w:r>
          </w:p>
          <w:p>
            <w:pPr>
              <w:pStyle w:val="null3"/>
              <w:numPr>
                <w:ilvl w:val="0"/>
                <w:numId w:val="1"/>
              </w:numPr>
              <w:ind w:left="780"/>
              <w:jc w:val="both"/>
            </w:pPr>
            <w:r>
              <w:rPr>
                <w:rFonts w:ascii="仿宋_GB2312" w:hAnsi="仿宋_GB2312" w:cs="仿宋_GB2312" w:eastAsia="仿宋_GB2312"/>
                <w:sz w:val="24"/>
              </w:rPr>
              <w:t>项目服务小组对设备运行周期内网络侧及客户侧实施</w:t>
            </w:r>
            <w:r>
              <w:rPr>
                <w:rFonts w:ascii="仿宋_GB2312" w:hAnsi="仿宋_GB2312" w:cs="仿宋_GB2312" w:eastAsia="仿宋_GB2312"/>
                <w:sz w:val="24"/>
              </w:rPr>
              <w:t>7×</w:t>
            </w:r>
          </w:p>
          <w:p>
            <w:pPr>
              <w:pStyle w:val="null3"/>
              <w:spacing w:before="15"/>
              <w:jc w:val="left"/>
            </w:pP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小时监控，并按季度做好网络线路巡检，确保整体网络运行平稳，</w:t>
            </w:r>
            <w:r>
              <w:rPr>
                <w:rFonts w:ascii="仿宋_GB2312" w:hAnsi="仿宋_GB2312" w:cs="仿宋_GB2312" w:eastAsia="仿宋_GB2312"/>
                <w:sz w:val="24"/>
              </w:rPr>
              <w:t>并根据客户需求提供网络运行分析报告，对网络在一段时间内的运行</w:t>
            </w:r>
            <w:r>
              <w:rPr>
                <w:rFonts w:ascii="仿宋_GB2312" w:hAnsi="仿宋_GB2312" w:cs="仿宋_GB2312" w:eastAsia="仿宋_GB2312"/>
                <w:sz w:val="24"/>
              </w:rPr>
              <w:t>情况进行的总结和分析。主要包括</w:t>
            </w:r>
            <w:r>
              <w:rPr>
                <w:rFonts w:ascii="仿宋_GB2312" w:hAnsi="仿宋_GB2312" w:cs="仿宋_GB2312" w:eastAsia="仿宋_GB2312"/>
                <w:sz w:val="24"/>
              </w:rPr>
              <w:t>:网络整体运行情况、网络运行监</w:t>
            </w:r>
            <w:r>
              <w:rPr>
                <w:rFonts w:ascii="仿宋_GB2312" w:hAnsi="仿宋_GB2312" w:cs="仿宋_GB2312" w:eastAsia="仿宋_GB2312"/>
                <w:sz w:val="24"/>
              </w:rPr>
              <w:t>控情况分析、巡检情况分析，网络优化建议等内容。</w:t>
            </w:r>
          </w:p>
          <w:p>
            <w:pPr>
              <w:pStyle w:val="null3"/>
              <w:numPr>
                <w:ilvl w:val="0"/>
                <w:numId w:val="1"/>
              </w:numPr>
              <w:spacing w:before="30"/>
              <w:ind w:right="705"/>
              <w:jc w:val="left"/>
            </w:pPr>
            <w:r>
              <w:rPr>
                <w:rFonts w:ascii="仿宋_GB2312" w:hAnsi="仿宋_GB2312" w:cs="仿宋_GB2312" w:eastAsia="仿宋_GB2312"/>
                <w:sz w:val="24"/>
              </w:rPr>
              <w:t>项目服务小组对客户侧使用情况，按月开展网络</w:t>
            </w:r>
            <w:r>
              <w:rPr>
                <w:rFonts w:ascii="仿宋_GB2312" w:hAnsi="仿宋_GB2312" w:cs="仿宋_GB2312" w:eastAsia="仿宋_GB2312"/>
                <w:sz w:val="24"/>
              </w:rPr>
              <w:t>“绿伞” 行动，协助客户排查网络使用中存在的问题，提供解决支撑方案。</w:t>
            </w:r>
          </w:p>
          <w:p>
            <w:pPr>
              <w:pStyle w:val="null3"/>
              <w:ind w:left="120" w:right="660" w:firstLine="559"/>
              <w:jc w:val="left"/>
            </w:pPr>
            <w:r>
              <w:rPr>
                <w:rFonts w:ascii="仿宋_GB2312" w:hAnsi="仿宋_GB2312" w:cs="仿宋_GB2312" w:eastAsia="仿宋_GB2312"/>
                <w:sz w:val="24"/>
              </w:rPr>
              <w:t>同时在日常业务使用过程中，发现存在无法解决的问题时，通过</w:t>
            </w:r>
            <w:r>
              <w:rPr>
                <w:rFonts w:ascii="仿宋_GB2312" w:hAnsi="仿宋_GB2312" w:cs="仿宋_GB2312" w:eastAsia="仿宋_GB2312"/>
                <w:sz w:val="24"/>
              </w:rPr>
              <w:t>服务电话进行告知，在第一时间提供问题解决方案。</w:t>
            </w:r>
          </w:p>
          <w:p>
            <w:pPr>
              <w:pStyle w:val="null3"/>
              <w:numPr>
                <w:ilvl w:val="0"/>
                <w:numId w:val="1"/>
              </w:numPr>
              <w:ind w:right="660"/>
              <w:jc w:val="both"/>
            </w:pPr>
            <w:r>
              <w:rPr>
                <w:rFonts w:ascii="仿宋_GB2312" w:hAnsi="仿宋_GB2312" w:cs="仿宋_GB2312" w:eastAsia="仿宋_GB2312"/>
                <w:sz w:val="24"/>
              </w:rPr>
              <w:t>项目服务小组同步针对故障制定应急预案，发生光缆故障</w:t>
            </w:r>
            <w:r>
              <w:rPr>
                <w:rFonts w:ascii="仿宋_GB2312" w:hAnsi="仿宋_GB2312" w:cs="仿宋_GB2312" w:eastAsia="仿宋_GB2312"/>
                <w:sz w:val="24"/>
              </w:rPr>
              <w:t>时，第一时间启动故障应急响应，优先快速恢复网络服务，并于正式</w:t>
            </w:r>
            <w:r>
              <w:rPr>
                <w:rFonts w:ascii="仿宋_GB2312" w:hAnsi="仿宋_GB2312" w:cs="仿宋_GB2312" w:eastAsia="仿宋_GB2312"/>
                <w:sz w:val="24"/>
              </w:rPr>
              <w:t>修复后，进行一次全面质量检查，确保抢修质量。</w:t>
            </w:r>
          </w:p>
          <w:p>
            <w:pPr>
              <w:pStyle w:val="null3"/>
              <w:ind w:left="120"/>
              <w:jc w:val="left"/>
              <w:outlineLvl w:val="0"/>
            </w:pPr>
            <w:r>
              <w:rPr>
                <w:rFonts w:ascii="仿宋_GB2312" w:hAnsi="仿宋_GB2312" w:cs="仿宋_GB2312" w:eastAsia="仿宋_GB2312"/>
                <w:sz w:val="24"/>
                <w:b/>
              </w:rPr>
              <w:t>三</w:t>
            </w:r>
            <w:r>
              <w:rPr>
                <w:rFonts w:ascii="仿宋_GB2312" w:hAnsi="仿宋_GB2312" w:cs="仿宋_GB2312" w:eastAsia="仿宋_GB2312"/>
                <w:sz w:val="24"/>
                <w:b/>
              </w:rPr>
              <w:t>、突发事件以及应急预案</w:t>
            </w:r>
          </w:p>
          <w:p>
            <w:pPr>
              <w:pStyle w:val="null3"/>
              <w:spacing w:before="240"/>
              <w:ind w:left="120" w:right="660" w:firstLine="559"/>
              <w:jc w:val="both"/>
            </w:pPr>
            <w:r>
              <w:rPr>
                <w:rFonts w:ascii="仿宋_GB2312" w:hAnsi="仿宋_GB2312" w:cs="仿宋_GB2312" w:eastAsia="仿宋_GB2312"/>
                <w:sz w:val="24"/>
              </w:rPr>
              <w:t>为确保突发事件的响应处理，应建立了应急管理、指挥、调度机</w:t>
            </w:r>
            <w:r>
              <w:rPr>
                <w:rFonts w:ascii="仿宋_GB2312" w:hAnsi="仿宋_GB2312" w:cs="仿宋_GB2312" w:eastAsia="仿宋_GB2312"/>
                <w:sz w:val="24"/>
              </w:rPr>
              <w:t>制，建立专职的组织机构负责各类突发事件及重大自然灾害和和重要</w:t>
            </w:r>
            <w:r>
              <w:rPr>
                <w:rFonts w:ascii="仿宋_GB2312" w:hAnsi="仿宋_GB2312" w:cs="仿宋_GB2312" w:eastAsia="仿宋_GB2312"/>
                <w:sz w:val="24"/>
              </w:rPr>
              <w:t>保障会议及活动的应急管理、指挥、调度工作。</w:t>
            </w:r>
          </w:p>
          <w:p>
            <w:pPr>
              <w:pStyle w:val="null3"/>
              <w:ind w:left="120"/>
              <w:jc w:val="left"/>
              <w:outlineLvl w:val="0"/>
            </w:pPr>
            <w:r>
              <w:rPr>
                <w:rFonts w:ascii="仿宋_GB2312" w:hAnsi="仿宋_GB2312" w:cs="仿宋_GB2312" w:eastAsia="仿宋_GB2312"/>
                <w:sz w:val="24"/>
                <w:b/>
              </w:rPr>
              <w:t>四</w:t>
            </w:r>
            <w:r>
              <w:rPr>
                <w:rFonts w:ascii="仿宋_GB2312" w:hAnsi="仿宋_GB2312" w:cs="仿宋_GB2312" w:eastAsia="仿宋_GB2312"/>
                <w:sz w:val="24"/>
                <w:b/>
              </w:rPr>
              <w:t>、服务期限</w:t>
            </w:r>
          </w:p>
          <w:p>
            <w:pPr>
              <w:pStyle w:val="null3"/>
              <w:spacing w:before="240"/>
              <w:ind w:left="120" w:right="660" w:firstLine="559"/>
              <w:jc w:val="both"/>
            </w:pPr>
            <w:r>
              <w:rPr>
                <w:rFonts w:ascii="仿宋_GB2312" w:hAnsi="仿宋_GB2312" w:cs="仿宋_GB2312" w:eastAsia="仿宋_GB2312"/>
                <w:sz w:val="24"/>
              </w:rPr>
              <w:t>服务期限：自合同签订之日起</w:t>
            </w:r>
            <w:r>
              <w:rPr>
                <w:rFonts w:ascii="仿宋_GB2312" w:hAnsi="仿宋_GB2312" w:cs="仿宋_GB2312" w:eastAsia="仿宋_GB2312"/>
                <w:sz w:val="24"/>
              </w:rPr>
              <w:t xml:space="preserve"> 1 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满足国家相关规范、行业标准及采购人需求。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满足国家相关规范、行业标准及采购人需求。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 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（1）服务期限：自合同签订之日起 1 年；（2）服务地点：采购人指定地点； （3）付款条件说明：具体付款方式以实际签订合同为准。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供应商是法人（单位负责人） 或其 他组织的应提供营 业执 照等证明文件</w:t>
            </w:r>
          </w:p>
        </w:tc>
        <w:tc>
          <w:tcPr>
            <w:tcW w:type="dxa" w:w="3322"/>
          </w:tcPr>
          <w:p>
            <w:pPr>
              <w:pStyle w:val="null3"/>
            </w:pPr>
            <w:r>
              <w:rPr>
                <w:rFonts w:ascii="仿宋_GB2312" w:hAnsi="仿宋_GB2312" w:cs="仿宋_GB2312" w:eastAsia="仿宋_GB2312"/>
              </w:rPr>
              <w:t>具有独立承担民事责任的能力，提供法人（单位负责人）或者其他组织的营业执照等证明 文 件， 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承诺及说明</w:t>
            </w:r>
          </w:p>
        </w:tc>
        <w:tc>
          <w:tcPr>
            <w:tcW w:type="dxa" w:w="3322"/>
          </w:tcPr>
          <w:p>
            <w:pPr>
              <w:pStyle w:val="null3"/>
            </w:pPr>
            <w:r>
              <w:rPr>
                <w:rFonts w:ascii="仿宋_GB2312" w:hAnsi="仿宋_GB2312" w:cs="仿宋_GB2312" w:eastAsia="仿宋_GB2312"/>
              </w:rPr>
              <w:t>具有履行合同所必需的设备和专业技术能力的 承诺及说明；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税收交纳证明、社会保障资金 交纳 证明</w:t>
            </w:r>
          </w:p>
        </w:tc>
        <w:tc>
          <w:tcPr>
            <w:tcW w:type="dxa" w:w="3322"/>
          </w:tcPr>
          <w:p>
            <w:pPr>
              <w:pStyle w:val="null3"/>
            </w:pPr>
            <w:r>
              <w:rPr>
                <w:rFonts w:ascii="仿宋_GB2312" w:hAnsi="仿宋_GB2312" w:cs="仿宋_GB2312" w:eastAsia="仿宋_GB2312"/>
              </w:rPr>
              <w:t>依法缴纳税收和社会保障资金相关材料（提供 文件递交 截止日近一年内任意2个月）；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供应商需提2024年度财务审计报告或提供文件 递交截止日前三个月内从基本户银行开具 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法定代表人（单位负责人）授 权书 /法定代表人（单位负责 人）身份 证明</w:t>
            </w:r>
          </w:p>
        </w:tc>
        <w:tc>
          <w:tcPr>
            <w:tcW w:type="dxa" w:w="3322"/>
          </w:tcPr>
          <w:p>
            <w:pPr>
              <w:pStyle w:val="null3"/>
            </w:pPr>
            <w:r>
              <w:rPr>
                <w:rFonts w:ascii="仿宋_GB2312" w:hAnsi="仿宋_GB2312" w:cs="仿宋_GB2312" w:eastAsia="仿宋_GB2312"/>
              </w:rPr>
              <w:t>法定代表人（单位负责人）参加单一来源采购须出具法定代表人（单位负责人）身份证明 （ 并附有效证件），被授权代理人参加单一来源采购须出具法定代表人（单位负责人）授 权书 及被授权人有效证件；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供应商出具本企业参加政府采购活动前三年内 经营活动 中没有重大违法记录的书面声明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 中列入失信被执行人和重大税 收违法案件当事人名单的供应商 ，不得为“ 中国政府采 购网” 政府采购严重违法失信行为记录名单中被财政部门禁止参加 政府采购 活动的供应商；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采购文件上要求签字或盖章的，签字或盖章应 齐全。</w:t>
            </w:r>
          </w:p>
        </w:tc>
        <w:tc>
          <w:tcPr>
            <w:tcW w:type="dxa" w:w="1661"/>
          </w:tcPr>
          <w:p>
            <w:pPr>
              <w:pStyle w:val="null3"/>
            </w:pPr>
            <w:r>
              <w:rPr>
                <w:rFonts w:ascii="仿宋_GB2312" w:hAnsi="仿宋_GB2312" w:cs="仿宋_GB2312" w:eastAsia="仿宋_GB2312"/>
              </w:rPr>
              <w:t>技术方案.docx 服务内容及服务邀请应答表 法定代表人身份证明.docx 中小企业声明函 商务应答表 供应商应提交的相关资格证明材料 报价表 响应文件封面 残疾人福利性单位声明函 服务方案 标的清单 其他资料.docx 响应函 法定代表人授权委托书.docx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完全响应采购文件商务要求、技术服务要求。</w:t>
            </w:r>
          </w:p>
        </w:tc>
        <w:tc>
          <w:tcPr>
            <w:tcW w:type="dxa" w:w="1661"/>
          </w:tcPr>
          <w:p>
            <w:pPr>
              <w:pStyle w:val="null3"/>
            </w:pPr>
            <w:r>
              <w:rPr>
                <w:rFonts w:ascii="仿宋_GB2312" w:hAnsi="仿宋_GB2312" w:cs="仿宋_GB2312" w:eastAsia="仿宋_GB2312"/>
              </w:rPr>
              <w:t>服务内容及服务邀请应答表 商务应答表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详见附件：参考服务合同.docx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