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版本号：ZCJC-2025-03120250919001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铜川图书馆更换主楼1至3层空调风道改造安装及吊顶更换铝扣板维修恢复项目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ZCJC-2025-031</w:t>
      </w:r>
      <w:r>
        <w:br/>
      </w:r>
      <w:r>
        <w:br/>
      </w:r>
      <w:r>
        <w:br/>
      </w:r>
    </w:p>
    <w:p>
      <w:pPr>
        <w:pStyle w:val="null3"/>
        <w:jc w:val="center"/>
        <w:outlineLvl w:val="2"/>
      </w:pPr>
      <w:r>
        <w:rPr>
          <w:rFonts w:ascii="仿宋_GB2312" w:hAnsi="仿宋_GB2312" w:cs="仿宋_GB2312" w:eastAsia="仿宋_GB2312"/>
          <w:sz w:val="28"/>
          <w:b/>
        </w:rPr>
        <w:t>铜川市图书馆</w:t>
      </w:r>
    </w:p>
    <w:p>
      <w:pPr>
        <w:pStyle w:val="null3"/>
        <w:jc w:val="center"/>
        <w:outlineLvl w:val="2"/>
      </w:pPr>
      <w:r>
        <w:rPr>
          <w:rFonts w:ascii="仿宋_GB2312" w:hAnsi="仿宋_GB2312" w:cs="仿宋_GB2312" w:eastAsia="仿宋_GB2312"/>
          <w:sz w:val="28"/>
          <w:b/>
        </w:rPr>
        <w:t>陕西久创项目管理有限公司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陕西久创项目管理有限公司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铜川市图书馆</w:t>
      </w:r>
      <w:r>
        <w:rPr>
          <w:rFonts w:ascii="仿宋_GB2312" w:hAnsi="仿宋_GB2312" w:cs="仿宋_GB2312" w:eastAsia="仿宋_GB2312"/>
        </w:rPr>
        <w:t>委托，拟对</w:t>
      </w:r>
      <w:r>
        <w:rPr>
          <w:rFonts w:ascii="仿宋_GB2312" w:hAnsi="仿宋_GB2312" w:cs="仿宋_GB2312" w:eastAsia="仿宋_GB2312"/>
        </w:rPr>
        <w:t>铜川图书馆更换主楼1至3层空调风道改造安装及吊顶更换铝扣板维修恢复项目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ZCJC-2025-031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铜川图书馆更换主楼1至3层空调风道改造安装及吊顶更换铝扣板维修恢复项目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铜川图书馆更换主楼1至3层空调风道改造安装及吊顶更换铝扣板维修恢复，详见竞争性磋商文件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采购包1（铜川图书馆更换主楼1至3层空调风道改造安装及吊顶更换铝扣板维修恢复项目）：属于专门面向中小企业采购。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1、营业执照：具有独立承担民事责任的能力，提供法人或者其他组织的营业执照等证明文件，自然人参与的提供其身份证明</w:t>
      </w:r>
    </w:p>
    <w:p>
      <w:pPr>
        <w:pStyle w:val="null3"/>
      </w:pPr>
      <w:r>
        <w:rPr>
          <w:rFonts w:ascii="仿宋_GB2312" w:hAnsi="仿宋_GB2312" w:cs="仿宋_GB2312" w:eastAsia="仿宋_GB2312"/>
        </w:rPr>
        <w:t>2、审计报告：提供2023或2024任一年度经审计的财务审计报告(2024年成立的公司提供成立后企业的资产负债表和利润表），或提供近一年内基本存款账户开户银行开具的资信证明；</w:t>
      </w:r>
    </w:p>
    <w:p>
      <w:pPr>
        <w:pStyle w:val="null3"/>
      </w:pPr>
      <w:r>
        <w:rPr>
          <w:rFonts w:ascii="仿宋_GB2312" w:hAnsi="仿宋_GB2312" w:cs="仿宋_GB2312" w:eastAsia="仿宋_GB2312"/>
        </w:rPr>
        <w:t>3、税收缴纳证明：提供2025年01月01日至今任意一个月的缴纳税收的证明材料,(依法免税的单位应提供相关证明材料)</w:t>
      </w:r>
    </w:p>
    <w:p>
      <w:pPr>
        <w:pStyle w:val="null3"/>
      </w:pPr>
      <w:r>
        <w:rPr>
          <w:rFonts w:ascii="仿宋_GB2312" w:hAnsi="仿宋_GB2312" w:cs="仿宋_GB2312" w:eastAsia="仿宋_GB2312"/>
        </w:rPr>
        <w:t>4、社保缴纳证明：提供2025年01月01日至今任意一个月的依法缴纳社会保障资金的证明材料（依法不需要缴纳社会保障资金的单位应提供相关证明材料）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信息：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6、具备履行合同所必需的设备和专业技术能力：出具具备履行合同所必需的设备和专业技术能力的书面声明</w:t>
      </w:r>
    </w:p>
    <w:p>
      <w:pPr>
        <w:pStyle w:val="null3"/>
      </w:pPr>
      <w:r>
        <w:rPr>
          <w:rFonts w:ascii="仿宋_GB2312" w:hAnsi="仿宋_GB2312" w:cs="仿宋_GB2312" w:eastAsia="仿宋_GB2312"/>
        </w:rPr>
        <w:t>7、书面声明：参加政府采购活动前3年内，在经营活动中没有重大违法记录（提供书面声明函）</w:t>
      </w:r>
    </w:p>
    <w:p>
      <w:pPr>
        <w:pStyle w:val="null3"/>
      </w:pPr>
      <w:r>
        <w:rPr>
          <w:rFonts w:ascii="仿宋_GB2312" w:hAnsi="仿宋_GB2312" w:cs="仿宋_GB2312" w:eastAsia="仿宋_GB2312"/>
        </w:rPr>
        <w:t>8、授权委托书：法定代表人授权书（附法定代表人及被授权人身份证复印件）（如法定代表人直接投标只须提交法人身份证明并附身份证复印件）</w:t>
      </w:r>
    </w:p>
    <w:p>
      <w:pPr>
        <w:pStyle w:val="null3"/>
      </w:pPr>
      <w:r>
        <w:rPr>
          <w:rFonts w:ascii="仿宋_GB2312" w:hAnsi="仿宋_GB2312" w:cs="仿宋_GB2312" w:eastAsia="仿宋_GB2312"/>
        </w:rPr>
        <w:t>9、项目经理：拟派项目经理需具备建筑工程专业二级（含二级）及以上注册建造师资格，具备有效的安全生产考核合格证（B证），且无其他在建工程.</w:t>
      </w:r>
    </w:p>
    <w:p>
      <w:pPr>
        <w:pStyle w:val="null3"/>
      </w:pPr>
      <w:r>
        <w:rPr>
          <w:rFonts w:ascii="仿宋_GB2312" w:hAnsi="仿宋_GB2312" w:cs="仿宋_GB2312" w:eastAsia="仿宋_GB2312"/>
        </w:rPr>
        <w:t>10、施工资质：需具备建筑工程施工总承包三级（含三级）或建筑装修装饰工程专业承包二级及以上资质，并具有有效的安全生产许可证；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陕西省铜川市新区正阳路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16609196658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陕西久创项目管理有限公司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陕西省西安市未央区未央湖开发区草滩镇东风路 阳光假日小区8号楼2单元3层301室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赵紫郡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17809291623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采购包1：1,187,300.00元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铜川市图书馆</w:t>
      </w:r>
      <w:r>
        <w:rPr>
          <w:rFonts w:ascii="仿宋_GB2312" w:hAnsi="仿宋_GB2312" w:cs="仿宋_GB2312" w:eastAsia="仿宋_GB2312"/>
        </w:rPr>
        <w:t>和</w:t>
      </w:r>
      <w:r>
        <w:rPr>
          <w:rFonts w:ascii="仿宋_GB2312" w:hAnsi="仿宋_GB2312" w:cs="仿宋_GB2312" w:eastAsia="仿宋_GB2312"/>
        </w:rPr>
        <w:t>陕西久创项目管理有限公司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铜川市图书馆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陕西久创项目管理有限公司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铜川市图书馆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陕西久创项目管理有限公司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联系人：赵紫郡</w:t>
      </w:r>
    </w:p>
    <w:p>
      <w:pPr>
        <w:pStyle w:val="null3"/>
      </w:pPr>
      <w:r>
        <w:rPr>
          <w:rFonts w:ascii="仿宋_GB2312" w:hAnsi="仿宋_GB2312" w:cs="仿宋_GB2312" w:eastAsia="仿宋_GB2312"/>
        </w:rPr>
        <w:t>联系电话：17809291623</w:t>
      </w:r>
    </w:p>
    <w:p>
      <w:pPr>
        <w:pStyle w:val="null3"/>
      </w:pPr>
      <w:r>
        <w:rPr>
          <w:rFonts w:ascii="仿宋_GB2312" w:hAnsi="仿宋_GB2312" w:cs="仿宋_GB2312" w:eastAsia="仿宋_GB2312"/>
        </w:rPr>
        <w:t>地址：陕西省西安市未央区未央湖开发区草滩镇东风路 阳光假日小区8号楼2单元3层301室</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1,187,300.00</w:t>
      </w:r>
    </w:p>
    <w:p>
      <w:pPr>
        <w:pStyle w:val="null3"/>
      </w:pPr>
      <w:r>
        <w:rPr>
          <w:rFonts w:ascii="仿宋_GB2312" w:hAnsi="仿宋_GB2312" w:cs="仿宋_GB2312" w:eastAsia="仿宋_GB2312"/>
        </w:rPr>
        <w:t>采购包最高限价（元）: 1,187,300.00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1187300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1,187,300.00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标的名称：1187300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详细评审方案.docx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具有财务审计资质的单位出具的2024年度财务报告，或磋商截止时间前三个月内公司基本账户开户银行出具的资信证明，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提供2023或2024任一年度经审计的财务审计报告(2024年成立的公司提供成立后企业的资产负债表和利润表），或提供近一年内基本存款账户开户银行开具的资信证明；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提供2025年01月01日至今任意一个月的依法缴纳社会保障资金的证明材料（依法不需要缴纳社会保障资金的单位应提供相关证明材料）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法定代表人授权书（附法定代表人及被授权人身份证复印件）（如法定代表人直接投标只须提交法人身份证明并附身份证复印件）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拟派项目经理需具备建筑工程专业二级（含二级）及以上注册建造师资格，具备有效的安全生产考核合格证（B证），且无其他在建工程.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需具备建筑工程施工总承包三级（含三级）或建筑装修装饰工程专业承包二级及以上资质，并具有有效的安全生产许可证；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针对本项目提供主要施工方案。施工方案完整全面、可行得5-7分；施工方案较完整全面得3-4.99分；施工方案不完整得0-2.99分；未提供不得分。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详细评审方案.docx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项目组织结构及组成人员</w:t>
            </w:r>
          </w:p>
        </w:tc>
        <w:tc>
          <w:tcPr>
            <w:tcW w:type="dxa" w:w="2492"/>
          </w:tcPr>
          <w:p>
            <w:pPr>
              <w:pStyle w:val="null3"/>
            </w:pPr>
            <w:r>
              <w:rPr>
                <w:rFonts w:ascii="仿宋_GB2312" w:hAnsi="仿宋_GB2312" w:cs="仿宋_GB2312" w:eastAsia="仿宋_GB2312"/>
              </w:rPr>
              <w:t>针对本项目配备项目组织结构及组成人员，人员配备完整、合理得5-7分；人员配备较完整、合理得3-4.99分；人员配备不完整得0-2.99分。未提供不得分。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针对本项目提供施工机械配备和材料投入计划，机械配备和材料投入计划完整、合理得5-7分；机械配备和材料投入计划较完整、合理得3-4.99分；机械配备和材料投入计划不完整得0-2.99分。未提供不得分。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针对本项目提供施工进度计划及保证措施，措施完整全面、合理得5-7分；措施较完整全面、合理得3-4.99分；措施不完整、不全面得0-2.99分。未提供不得分。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针对本项目提供劳动力安排计划，劳动力投入完整、合理得5-7分；劳动力投入较完整、合理得3-4.99分；劳动力投入不完整得0-2.99分。未提供不得分。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针对本项目提供确保工程质量的技术组织措施，措施完整全面、可行得5-7分；措施较完整全面、可行得3-4.99分；措施不完整不全面得0-2.99分。未提供不得分。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针对本项目提供确保安全生产的技术组织措施，措施完整全面、可行得5-7分；措施较完整全面、可行得3-4.99分；措施不完整不全面得0-2.99分。未提供不得分。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针对本项目提供确保文明施工的技术组织措施及环境保护措施，措施完整全面、可行得5-7分；措施较完整全面、可行得3-4.99分；措施不完整不全面得0-2.99分。未提供不得分。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针对本项目提供确保工期的技术组织措施，措施完整全面、可行得5-7分；措施较完整全面、可行得3-4.99分；措施不完整不全面得0-2.99分。未提供不得分。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针对本项目提供合理化建议。合理化建议全面、可行得3-4分；合理化建议较全面、可行得1-2.99分；合理化建议不全面得0-0.99分。未提供不得分。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2022年1月1日起至今，供应商承担的类似项目业绩(时间以合同签订日期为准，提供完整的合同复印件)，每提供1份有效业绩得1分，最多得3分。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价格分采用低价优先法计算，即满足竞争性磋商文件要求且磋商报价最低的报价为评审基准价，其价格分为满分。其他供应商的价格分统一按照下列公式计算： 磋商报价 得分=（评审基准价/磋商报价）×30 注：计算分数时四舍五入取小数点后两位。各供应商的磋商最终报价参与价格分评审。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