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版本号：TCZFCG-2025-0062720250903001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物业管理服务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TCZFCG-2025-00627</w:t>
      </w:r>
      <w:r>
        <w:br/>
      </w:r>
      <w:r>
        <w:br/>
      </w:r>
      <w:r>
        <w:br/>
      </w:r>
    </w:p>
    <w:p>
      <w:pPr>
        <w:pStyle w:val="null3"/>
        <w:jc w:val="center"/>
        <w:outlineLvl w:val="2"/>
      </w:pPr>
      <w:r>
        <w:rPr>
          <w:rFonts w:ascii="仿宋_GB2312" w:hAnsi="仿宋_GB2312" w:cs="仿宋_GB2312" w:eastAsia="仿宋_GB2312"/>
          <w:sz w:val="28"/>
          <w:b/>
        </w:rPr>
        <w:t>铜川市实验中学</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铜川市实验中学</w:t>
      </w:r>
      <w:r>
        <w:rPr>
          <w:rFonts w:ascii="仿宋_GB2312" w:hAnsi="仿宋_GB2312" w:cs="仿宋_GB2312" w:eastAsia="仿宋_GB2312"/>
        </w:rPr>
        <w:t>委托，拟对</w:t>
      </w:r>
      <w:r>
        <w:rPr>
          <w:rFonts w:ascii="仿宋_GB2312" w:hAnsi="仿宋_GB2312" w:cs="仿宋_GB2312" w:eastAsia="仿宋_GB2312"/>
        </w:rPr>
        <w:t>物业管理服务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TCZFCG-2025-00627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物业管理服务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学校占地面积46119平方米，本服务涉及房屋本体及公共区域环境保洁、公寓管理、安全秩序、宿舍管理、绿化围护、后勤管理等一体化物业管理服务。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铜川市实验中学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铜川市耀州区大唐五路与旺旺路交叉口东 200 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铜川市实验中学经办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15619101686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铜川市实验中学</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铜川市实验中学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铜川市实验中学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以双方认可和确认的考核结果为准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铜川市实验中学</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学校占地面积46119平方米，本服务涉及房屋本体及公共区域环境保洁、公寓管理、安全秩序、宿舍管理、绿化围护、后勤管理等一体化物业管理服务。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门岗响应速度要求：外来人员/车辆入校登记≤90秒随机抽查录像（每月≥5次）。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电子巡更覆盖率要求：教学区/宿舍区每日巡更点≥8个，轨迹留存率100%巡更系统数据导出。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监控有效运行率要求：摄像头在线率≥98%，关键区域（校门、食堂、实验室）录像保存≥90天，平台实时监测+月度人工抽检。</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一键报警响应要求：报警触发后安保人员3分钟内抵达现场，模拟演练（每学期≥2次）。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教学区清洁频次要求：走廊/楼梯每日3次，垃圾桶清运每日≥4次，保洁打卡记录+电子巡查。</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卫生间洁净度要求：无异味、无积水、皂液补充间隔≤4小时，每周抽检。</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垃圾分类准确率要求：误投率≤5%（可回收/有害/厨余分类），月度考评。</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报修响应时效要求：紧急报修（停电/漏水）≤15分钟到场，一般报修≤2小时到场，报修系统时间戳记录。</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设施完好率要求：照明/门窗/桌椅故障修复率≥98%（24小时内），日常巡检台账。</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物业人员配备要求：楼内保洁员7名负责楼内保洁；绿化工1名负责日常绿化养护及修剪；水电/勤杂工1名负责协助后勤勤杂类事务；内勤1名负责协助后勤勤杂类事务；食品安全员3名负责协助后勤具体工作；秩序维护员4名持保安证上岗。</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宿管人员配置：宿管8名负责宿舍管理；宿管班长2名负责宿舍管理；工程维修员2名配合后勤修缮类工作。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要求有物业人员17名和宿管人员12名。按服务要求配置。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2025年10月1日-2025年12月31日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铜川市耀州区大唐五路与旺旺路交叉口东200米</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现场查验时，设施设备功能正常率达到约定标准，关键设备（电梯、消防、配电）必选确保基本安全运行。所有问题点需清晰记录在案。交付的资料档案需清晰完整。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乙方在月末开具物业服务费国家正式税务普通发票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双方在履行合同过程中，如发生争议，应首先通过友好协商解决；若协商不成，可将争议提交至合同签订地的人民法院诉讼解决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物业服务）；社保缴纳证明：近期已缴存的社会保障资金缴存单据或社保机构开具的社会保险参保缴费情况证明。依法不需要缴纳社会保障资金的供应商应提供相关文件证明；税收缴纳证明：近期已缴纳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近期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供应商应提交的相关资格证明材料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1、根据采购文件制定详细可行的物业管理实施方案0-7分；2、建立和执行岗位职责、服务流程与标准、员工守则等管理制度，有配套考核办法0-7分。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根据学校实际及服务要求和可能发生的紧急事件制定相应应急处理预案措施，预案详尽、全面、有效、合理，可实施性得0-9分。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管理目标</w:t>
            </w:r>
          </w:p>
        </w:tc>
        <w:tc>
          <w:tcPr>
            <w:tcW w:type="dxa" w:w="2492"/>
          </w:tcPr>
          <w:p>
            <w:pPr>
              <w:pStyle w:val="null3"/>
            </w:pPr>
            <w:r>
              <w:rPr>
                <w:rFonts w:ascii="仿宋_GB2312" w:hAnsi="仿宋_GB2312" w:cs="仿宋_GB2312" w:eastAsia="仿宋_GB2312"/>
              </w:rPr>
              <w:t>1、制定和执行设施设备安全运行操作规程和管理方案，实施岗位责任制，建立设备运行和维修档案得0-5分。2、对临时突发的报修事项或大型维修改造，有相应管理制度得0-3分。3、制定各类事故应急处理预案、临时停送水电工作方案得0-3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人员培训计划</w:t>
            </w:r>
          </w:p>
        </w:tc>
        <w:tc>
          <w:tcPr>
            <w:tcW w:type="dxa" w:w="2492"/>
          </w:tcPr>
          <w:p>
            <w:pPr>
              <w:pStyle w:val="null3"/>
            </w:pPr>
            <w:r>
              <w:rPr>
                <w:rFonts w:ascii="仿宋_GB2312" w:hAnsi="仿宋_GB2312" w:cs="仿宋_GB2312" w:eastAsia="仿宋_GB2312"/>
              </w:rPr>
              <w:t>项目服务人员分工明确，经过严格岗前培训，配备完整的培训计划。针对服务要求中1-9项有合理的安排及方案得0-9分。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人员的配备完善，满足使用方要求。提供相应岗位所要求的真实有效的技术岗位操作证书、健康证明或证书证明。每提供一份材料得1分，满分7分。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垃圾分类</w:t>
            </w:r>
          </w:p>
        </w:tc>
        <w:tc>
          <w:tcPr>
            <w:tcW w:type="dxa" w:w="2492"/>
          </w:tcPr>
          <w:p>
            <w:pPr>
              <w:pStyle w:val="null3"/>
            </w:pPr>
            <w:r>
              <w:rPr>
                <w:rFonts w:ascii="仿宋_GB2312" w:hAnsi="仿宋_GB2312" w:cs="仿宋_GB2312" w:eastAsia="仿宋_GB2312"/>
              </w:rPr>
              <w:t>围绕生活垃圾分类要求，针对本项目实际制定切实可行性学校生活垃圾分类措施，根据其计措施详尽程度0-5分。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能够提供自2022年1月至今公共物业服务的业绩，每项计2分，本项最高得4分（加盖鲜章的合同复印件或加盖鲜章中标通知书,否则不得分）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30分。3、磋商报价得分=（磋商基准价/最终磋商报价）×30。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