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版本号：TCZFCG-2025-0070620250924001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计算机及应用软件采购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TCZFCG-2025-00706</w:t>
      </w:r>
      <w:r>
        <w:br/>
      </w:r>
      <w:r>
        <w:br/>
      </w:r>
      <w:r>
        <w:br/>
      </w:r>
    </w:p>
    <w:p>
      <w:pPr>
        <w:pStyle w:val="null3"/>
        <w:jc w:val="center"/>
        <w:outlineLvl w:val="2"/>
      </w:pPr>
      <w:r>
        <w:rPr>
          <w:rFonts w:ascii="仿宋_GB2312" w:hAnsi="仿宋_GB2312" w:cs="仿宋_GB2312" w:eastAsia="仿宋_GB2312"/>
          <w:sz w:val="28"/>
          <w:b/>
        </w:rPr>
        <w:t>铜川市耀州区人民法院新区审判庭</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铜川市耀州区人民法院新区审判庭</w:t>
      </w:r>
      <w:r>
        <w:rPr>
          <w:rFonts w:ascii="仿宋_GB2312" w:hAnsi="仿宋_GB2312" w:cs="仿宋_GB2312" w:eastAsia="仿宋_GB2312"/>
        </w:rPr>
        <w:t>委托，拟对</w:t>
      </w:r>
      <w:r>
        <w:rPr>
          <w:rFonts w:ascii="仿宋_GB2312" w:hAnsi="仿宋_GB2312" w:cs="仿宋_GB2312" w:eastAsia="仿宋_GB2312"/>
        </w:rPr>
        <w:t>计算机及应用软件采购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TCZFCG-2025-00706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计算机及应用软件采购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按照最高人民法院、陕西省高级人民法院关于信息安全可控战略的相关政策要求，购置国产化终端和相关配套软件，完成国产化改造要求和业务办公基本需求，采购国产电脑及配套软件共75套。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1、营业执照：提供有效存续的企业营业执照（副本）等证书。供应商需在项目电子化交易系统中按要求上传相应证明文件并进行电子签章。</w:t>
      </w:r>
    </w:p>
    <w:p>
      <w:pPr>
        <w:pStyle w:val="null3"/>
      </w:pPr>
      <w:r>
        <w:rPr>
          <w:rFonts w:ascii="仿宋_GB2312" w:hAnsi="仿宋_GB2312" w:cs="仿宋_GB2312" w:eastAsia="仿宋_GB2312"/>
        </w:rPr>
        <w:t>2、健全的财务会计制度的证明：（以下三种资料提供任意一种即可）： （1）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（2）其开标前三个月内基本开户银行出具的资信证明； （3）信用担保机构出具的投标担保函。</w:t>
      </w:r>
    </w:p>
    <w:p>
      <w:pPr>
        <w:pStyle w:val="null3"/>
      </w:pPr>
      <w:r>
        <w:rPr>
          <w:rFonts w:ascii="仿宋_GB2312" w:hAnsi="仿宋_GB2312" w:cs="仿宋_GB2312" w:eastAsia="仿宋_GB2312"/>
        </w:rPr>
        <w:t>3、社会保险参保缴费情况证明：提供递交投标文件截止之日前一年内任意一个月的社会保障资金缴存单据或社保机构开具的社会保险参保缴费情况证明。依法不需要缴纳社会保障资金的投标人应提供相关证明文件。</w:t>
      </w:r>
    </w:p>
    <w:p>
      <w:pPr>
        <w:pStyle w:val="null3"/>
      </w:pPr>
      <w:r>
        <w:rPr>
          <w:rFonts w:ascii="仿宋_GB2312" w:hAnsi="仿宋_GB2312" w:cs="仿宋_GB2312" w:eastAsia="仿宋_GB2312"/>
        </w:rPr>
        <w:t>4、纳税证明：提供递交投标文件截止之日前一年内任意一个月的依法缴纳税收的完税证明，完税证明应有税务机关或代收机关的公章或业务专用章。依法免税或无须缴纳税收的投标人，应提供相应证明文件</w:t>
      </w:r>
    </w:p>
    <w:p>
      <w:pPr>
        <w:pStyle w:val="null3"/>
      </w:pPr>
      <w:r>
        <w:rPr>
          <w:rFonts w:ascii="仿宋_GB2312" w:hAnsi="仿宋_GB2312" w:cs="仿宋_GB2312" w:eastAsia="仿宋_GB2312"/>
        </w:rPr>
        <w:t>5、信用查询：提供《供应商信用记录书面声明函》。经查，投标人未被列入“信用中国”网站记录的“失信被执行人”或“重大税收违法案件当事人”名单；不处于“中国政府采购网”记录的“政府采购严重违法失信行为记录名单”中的禁止参加政府采购活动。</w:t>
      </w:r>
    </w:p>
    <w:p>
      <w:pPr>
        <w:pStyle w:val="null3"/>
      </w:pPr>
      <w:r>
        <w:rPr>
          <w:rFonts w:ascii="仿宋_GB2312" w:hAnsi="仿宋_GB2312" w:cs="仿宋_GB2312" w:eastAsia="仿宋_GB2312"/>
        </w:rPr>
        <w:t>6、书面声明：提供书面声明，包括声明具有履行合同所必需的设备和专业技术能力；未为本项目提供整体设计、规范编制或者项目管理、监理、检测等服务；投标人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铜川市耀州区人民法院新区审判庭</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铜川市新区东环路中段齐家坡村委会旁</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15129197176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采购包1：605,850.00元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计算机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计算机</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铜川市耀州区人民法院新区审判庭</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铜川市耀州区人民法院新区审判庭</w:t>
      </w:r>
      <w:r>
        <w:rPr>
          <w:rFonts w:ascii="仿宋_GB2312" w:hAnsi="仿宋_GB2312" w:cs="仿宋_GB2312" w:eastAsia="仿宋_GB2312"/>
        </w:rPr>
        <w:t>负责解释。除上述招标文件内容，其他内容由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铜川市耀州区人民法院新区审判庭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严格依据采购合同、招标文件等法定文件及国家行业标准，通过规范的程序对货物进行核查，确保技术、服务、安全承诺全部达标，验收合格。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铜川市耀州区人民法院新区审判庭</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联系人：阎女士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地址：铜川新区人社大厦305室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按照最高人民法院、陕西省高级人民法院关于信息安全可控战略的相关政策要求，购置国产化终端和相关配套软件，完成国产化改造要求和业务办公基本需求，采购国产电脑及配套软件共75套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605,850.00</w:t>
      </w:r>
    </w:p>
    <w:p>
      <w:pPr>
        <w:pStyle w:val="null3"/>
      </w:pPr>
      <w:r>
        <w:rPr>
          <w:rFonts w:ascii="仿宋_GB2312" w:hAnsi="仿宋_GB2312" w:cs="仿宋_GB2312" w:eastAsia="仿宋_GB2312"/>
        </w:rPr>
        <w:t>采购包最高限价（元）: 605,850.00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计算机及应用软件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计算机及应用软件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41,250.00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计算机及应用软件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41,100.00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计算机及应用软件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36,000.00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计算机及应用软件</w:t>
            </w:r>
          </w:p>
        </w:tc>
        <w:tc>
          <w:tcPr>
            <w:tcW w:type="dxa" w:w="831"/>
          </w:tcPr>
          <w:p>
            <w:pPr>
              <w:pStyle w:val="null3"/>
              <w:jc w:val="right"/>
            </w:pPr>
            <w:r>
              <w:rPr>
                <w:rFonts w:ascii="仿宋_GB2312" w:hAnsi="仿宋_GB2312" w:cs="仿宋_GB2312" w:eastAsia="仿宋_GB2312"/>
              </w:rPr>
              <w:t>75.00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标的名称：计算机及应用软件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★1、具体参数：CPU物理核心数≥8核，主频≥2.7GHz，支持超线程技术；CPU 和操作系统等关键部件应当符合安全可靠测评要求;内存≥16GB DDR4，≥4个内存插槽；硬盘≥1块256GB SSD硬盘+1T机械硬盘；显示器≥23.8英寸；其他接口：配置≥1个RJ-45网络接口，≥8个USB接口，最少含4个USB 3.0接口；≥1个VGA口；≥1个HDMI接口</w:t>
            </w:r>
            <w:r>
              <w:br/>
            </w:r>
            <w:r>
              <w:rPr>
                <w:rFonts w:ascii="仿宋_GB2312" w:hAnsi="仿宋_GB2312" w:cs="仿宋_GB2312" w:eastAsia="仿宋_GB2312"/>
              </w:rPr>
              <w:t xml:space="preserve">  2、其他技术服务要求：</w:t>
            </w:r>
            <w:r>
              <w:br/>
            </w:r>
            <w:r>
              <w:rPr>
                <w:rFonts w:ascii="仿宋_GB2312" w:hAnsi="仿宋_GB2312" w:cs="仿宋_GB2312" w:eastAsia="仿宋_GB2312"/>
              </w:rPr>
              <w:t xml:space="preserve"> ▲（1）在国产系统下可实现批量远程命令执行：管理员可以批量发送远程命令或脚本设置，由终端进行执行，从而实现对终端的批量管理和维护。（可满足慧谷安装插件要求）</w:t>
            </w:r>
            <w:r>
              <w:br/>
            </w:r>
            <w:r>
              <w:rPr>
                <w:rFonts w:ascii="仿宋_GB2312" w:hAnsi="仿宋_GB2312" w:cs="仿宋_GB2312" w:eastAsia="仿宋_GB2312"/>
              </w:rPr>
              <w:t xml:space="preserve"> ▲（2）全文检索：终端在国产系统下可以实现文件名及文件内容（文档类）的全文检索功能。1万个文件的全文检索速度在3秒以内。（随案卷宗整理要求）</w:t>
            </w:r>
            <w:r>
              <w:br/>
            </w:r>
            <w:r>
              <w:rPr>
                <w:rFonts w:ascii="仿宋_GB2312" w:hAnsi="仿宋_GB2312" w:cs="仿宋_GB2312" w:eastAsia="仿宋_GB2312"/>
              </w:rPr>
              <w:t xml:space="preserve"> ▲（3）在国产系统下可实现终端间的文件和文件夹传输通过文件传输码的方式，实现各终端间可以一对一或者一对多的文件及文件夹分享和传输，便捷整个网络内的数据交互。（数据迁移要求）</w:t>
            </w:r>
            <w:r>
              <w:br/>
            </w:r>
            <w:r>
              <w:rPr>
                <w:rFonts w:ascii="仿宋_GB2312" w:hAnsi="仿宋_GB2312" w:cs="仿宋_GB2312" w:eastAsia="仿宋_GB2312"/>
              </w:rPr>
              <w:t xml:space="preserve"> ▲（4）在国产系统下可实现个性化文件的实时备份各终端可以对个性化文件（默认各文档类文件）进行备份，从而避免了个性化文件的丢失和损坏。（数据备份要求</w:t>
            </w:r>
            <w:r>
              <w:br/>
            </w:r>
            <w:r>
              <w:rPr>
                <w:rFonts w:ascii="仿宋_GB2312" w:hAnsi="仿宋_GB2312" w:cs="仿宋_GB2312" w:eastAsia="仿宋_GB2312"/>
              </w:rPr>
              <w:t xml:space="preserve"> ▲（5）在国产系统下可实现基本操作系统的分发通过多镜像的方式，能够实现操作系统向终端的分发，分发后，自动匹配IP地址及系统唯一标识。极大方便了多型多个终端的安装和维护。（系统升级要求）</w:t>
            </w:r>
            <w:r>
              <w:br/>
            </w:r>
            <w:r>
              <w:rPr>
                <w:rFonts w:ascii="仿宋_GB2312" w:hAnsi="仿宋_GB2312" w:cs="仿宋_GB2312" w:eastAsia="仿宋_GB2312"/>
              </w:rPr>
              <w:t xml:space="preserve"> ▲（6） 要求提供关与慧谷审判，通达海执行，减刑假释等应用系统，音视频管理平台的适配证明文件</w:t>
            </w:r>
            <w:r>
              <w:br/>
            </w:r>
            <w:r>
              <w:rPr>
                <w:rFonts w:ascii="仿宋_GB2312" w:hAnsi="仿宋_GB2312" w:cs="仿宋_GB2312" w:eastAsia="仿宋_GB2312"/>
              </w:rPr>
              <w:t xml:space="preserve">  3、设备安装调试适配服务：</w:t>
            </w:r>
            <w:r>
              <w:br/>
            </w:r>
            <w:r>
              <w:rPr>
                <w:rFonts w:ascii="仿宋_GB2312" w:hAnsi="仿宋_GB2312" w:cs="仿宋_GB2312" w:eastAsia="仿宋_GB2312"/>
              </w:rPr>
              <w:t xml:space="preserve"> ▲（1）应用软件系统安装服务，信创应用推送服务，可支持在国产终端上实现现有法院业务系统的迁移,数据迁移，备份。</w:t>
            </w:r>
            <w:r>
              <w:br/>
            </w:r>
            <w:r>
              <w:rPr>
                <w:rFonts w:ascii="仿宋_GB2312" w:hAnsi="仿宋_GB2312" w:cs="仿宋_GB2312" w:eastAsia="仿宋_GB2312"/>
              </w:rPr>
              <w:t xml:space="preserve"> ▲（2）兼容原有法院专网设备业务系统运行，并与省高院业务系统和办公系统保持一致，包含法院审判、执行、信访、政务、档案、费款和电子卷宗等12个主要业务系统适配服务，以及卷宗备份服务。三年驻场适配维护服务，驻场服务人员不少于1人。驻场人员要求具备国产设备及操作系统运维服务能力，并且至少有2年相关工作经验。</w:t>
            </w:r>
            <w:r>
              <w:br/>
            </w:r>
            <w:r>
              <w:rPr>
                <w:rFonts w:ascii="仿宋_GB2312" w:hAnsi="仿宋_GB2312" w:cs="仿宋_GB2312" w:eastAsia="仿宋_GB2312"/>
              </w:rPr>
              <w:t xml:space="preserve"> ▲（3）(数据仪表盘)：支持查看服务器运行状态，包括CPU、内存、磁盘、服务器端软件版本号等信息；支持查看添加的效能引擎所在的终端总数、在线数量、告警数量；服务器端软件管理支持通过管理平台B/S架构网页一键管理服务器端软件；</w:t>
            </w:r>
            <w:r>
              <w:br/>
            </w:r>
            <w:r>
              <w:rPr>
                <w:rFonts w:ascii="仿宋_GB2312" w:hAnsi="仿宋_GB2312" w:cs="仿宋_GB2312" w:eastAsia="仿宋_GB2312"/>
              </w:rPr>
              <w:t xml:space="preserve"> ▲（4）(主机管理)：支持添加、移除效能引擎所在的终端节点，可支持添加≥100个效能引擎所在的终端节点；支持查看、编辑效能引擎所在的终端节点名称、IP、连接状态、描述、创建时间、CPU、内存、磁盘、客户端软件版本号等信息；支持根据效能引擎所在的终端名称、IP地址、在线状态、分组、业务标签查询、管理主机节点；</w:t>
            </w:r>
            <w:r>
              <w:br/>
            </w:r>
            <w:r>
              <w:rPr>
                <w:rFonts w:ascii="仿宋_GB2312" w:hAnsi="仿宋_GB2312" w:cs="仿宋_GB2312" w:eastAsia="仿宋_GB2312"/>
              </w:rPr>
              <w:t xml:space="preserve"> ▲（5）(监控告警) ：支持监控效能引擎所在的终端运行状态，对主机CPU使用率、内存使用率、磁盘使用率进行监控记录；支持根据效能引擎所在的终端监控指标进行分类型、分级别监控告警，支持按时间维度滚动显示最新告警记录；</w:t>
            </w:r>
            <w:r>
              <w:br/>
            </w:r>
            <w:r>
              <w:rPr>
                <w:rFonts w:ascii="仿宋_GB2312" w:hAnsi="仿宋_GB2312" w:cs="仿宋_GB2312" w:eastAsia="仿宋_GB2312"/>
              </w:rPr>
              <w:t xml:space="preserve"> ▲（6）(主机运维)：支持一键管理效能引擎客户端软件；支持查询效能引擎所在的终端的USB设备列表和端口占用情况；支持根据端口ID结束相应进程；支持远程连接效能引擎所在的终端，包括针对效能引擎所在的华为终端和效能引擎所在的无显示器终端的远程；支持向效能引擎所在的终端推送文件，包括临时推送和持久化推送；持久化推送是向所有效能引擎所在的终端推送文件；支持对勾选的在线效能引擎所在的终端创建系统还原点，对整个系统状态进行备份，开机时自动还原；支持向勾选的在线效能引擎所在的终端推送消息、命令；支持根据需求设置外设规则、添加管控设备、禁用或启用光驱；</w:t>
            </w:r>
            <w:r>
              <w:br/>
            </w:r>
            <w:r>
              <w:rPr>
                <w:rFonts w:ascii="仿宋_GB2312" w:hAnsi="仿宋_GB2312" w:cs="仿宋_GB2312" w:eastAsia="仿宋_GB2312"/>
              </w:rPr>
              <w:t xml:space="preserve"> ▲（7）(共享网盘)：支持查看效能引擎所在的终端上传的文件信息，包括文件名称、大小、分享者、分享时间、过期时间等信息；支持对效能引擎所在的终端添加到共享网盘里的文件进行下载删除操作；支持根据文件名称查询文件，编辑文件保存在服务器上的位置；</w:t>
            </w:r>
            <w:r>
              <w:br/>
            </w:r>
            <w:r>
              <w:rPr>
                <w:rFonts w:ascii="仿宋_GB2312" w:hAnsi="仿宋_GB2312" w:cs="仿宋_GB2312" w:eastAsia="仿宋_GB2312"/>
              </w:rPr>
              <w:t xml:space="preserve"> ▲（8）（备份管理）：支持设置是否对主机上的文档进行备份；</w:t>
            </w:r>
            <w:r>
              <w:br/>
            </w:r>
            <w:r>
              <w:rPr>
                <w:rFonts w:ascii="仿宋_GB2312" w:hAnsi="仿宋_GB2312" w:cs="仿宋_GB2312" w:eastAsia="仿宋_GB2312"/>
              </w:rPr>
              <w:t xml:space="preserve"> ▲（9）(授权管理)：支持查看授权时间、授权点数等信息；支持根据需求更新授权信息；待办事项管理支持查看待办事项，添加待办事项(日志管理)支持查看服务器端然间的运行日志，日志包括系统日志和错误日志；记录了操作时间、操作内容和错误反馈；(客户端软件更新)</w:t>
            </w:r>
            <w:r>
              <w:br/>
            </w:r>
            <w:r>
              <w:rPr>
                <w:rFonts w:ascii="仿宋_GB2312" w:hAnsi="仿宋_GB2312" w:cs="仿宋_GB2312" w:eastAsia="仿宋_GB2312"/>
              </w:rPr>
              <w:t xml:space="preserve"> ▲（10）(全文检索)支持全文检索文档，主机根据输入的关键词进行搜索；</w:t>
            </w:r>
            <w:r>
              <w:br/>
            </w:r>
            <w:r>
              <w:rPr>
                <w:rFonts w:ascii="仿宋_GB2312" w:hAnsi="仿宋_GB2312" w:cs="仿宋_GB2312" w:eastAsia="仿宋_GB2312"/>
              </w:rPr>
              <w:t xml:space="preserve"> ▲（11）（共享网盘）1.支持拖拽上传文件，根据分享码下载相应文件； 2.支持将文件添加到共享网盘里，实现管理端下载文件；</w:t>
            </w:r>
            <w:r>
              <w:br/>
            </w:r>
            <w:r>
              <w:rPr>
                <w:rFonts w:ascii="仿宋_GB2312" w:hAnsi="仿宋_GB2312" w:cs="仿宋_GB2312" w:eastAsia="仿宋_GB2312"/>
              </w:rPr>
              <w:t xml:space="preserve"> ▲（12）、三年售后服务</w:t>
            </w:r>
          </w:p>
        </w:tc>
      </w:tr>
    </w:tbl>
    <w:p>
      <w:pPr>
        <w:pStyle w:val="null3"/>
      </w:pPr>
      <w:r>
        <w:rPr>
          <w:rFonts w:ascii="仿宋_GB2312" w:hAnsi="仿宋_GB2312" w:cs="仿宋_GB2312" w:eastAsia="仿宋_GB2312"/>
        </w:rPr>
        <w:t>标的名称：计算机及应用软件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1、预装符合桌面操作系统政府采购需求标准的正版操作系统，并有单独的激活码，提供原厂三年免费升级服务。操作系统支持龙芯、兆芯、飞腾、鲲鹏、海光等主流国产CPU。</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2、提供安全中心管控工具，提供图形化应用执行控制工具，具有检查应用程序完整性、来源等功能。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3、系统可提供安全增强组件，支持增加三权分立、白名单控制等安全功能，可增强至国家认证的安全保护级别，结构化保护四级。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4、兼容主流整机、外设和桌面生态软件，提供全新用户交互操作界面和Kysec安装机制。</w:t>
            </w:r>
          </w:p>
        </w:tc>
      </w:tr>
    </w:tbl>
    <w:p>
      <w:pPr>
        <w:pStyle w:val="null3"/>
      </w:pPr>
      <w:r>
        <w:rPr>
          <w:rFonts w:ascii="仿宋_GB2312" w:hAnsi="仿宋_GB2312" w:cs="仿宋_GB2312" w:eastAsia="仿宋_GB2312"/>
        </w:rPr>
        <w:t>标的名称：计算机及应用软件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浏览器无须开发须兼容支持全国法院使用的人民法院执行案件流程信息管理系统、人民法院内网网站等应用系统使用。</w:t>
            </w:r>
          </w:p>
        </w:tc>
      </w:tr>
    </w:tbl>
    <w:p>
      <w:pPr>
        <w:pStyle w:val="null3"/>
      </w:pPr>
      <w:r>
        <w:rPr>
          <w:rFonts w:ascii="仿宋_GB2312" w:hAnsi="仿宋_GB2312" w:cs="仿宋_GB2312" w:eastAsia="仿宋_GB2312"/>
        </w:rPr>
        <w:t>标的名称：计算机及应用软件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1、国产化环境及业务标准：支持安全可靠操作系统；支持自主可控CPU，符合OFD版式文档格式标准及电子公文应用领域的相关标准规范；</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文件操作：支持OFD/PDF文件的打开、保存、另存等基本文件操作，支持自动保存，可查看文档元数据、字体集及文档权限声明等文档属性，支持用户查看和添加自定义元数据；支持将打开的文件另存为PDF、纯文本、图片序列或多页TIFF格式，支持OFD PDF互转功能；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3、文件输出：具备将图片、版式文件输出为TXT、双层OFD、双层PDF功能，输出的同时支持文件扫描高压缩,无损压缩最高可达80%；（提供功能截图证明并加盖响应人公章）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4、文字识别：支持自动文字识别、指定区域识别；（提供产品截图等证明资料加盖响应人公章）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5、提供原厂三年免费升级服务</w:t>
            </w:r>
          </w:p>
        </w:tc>
      </w:tr>
    </w:tbl>
    <w:p>
      <w:pPr>
        <w:pStyle w:val="null3"/>
      </w:pPr>
      <w:r>
        <w:rPr>
          <w:rFonts w:ascii="仿宋_GB2312" w:hAnsi="仿宋_GB2312" w:cs="仿宋_GB2312" w:eastAsia="仿宋_GB2312"/>
        </w:rPr>
        <w:t>标的名称：计算机及应用软件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1、文字，表格，演示三个组件均支持在输出OFD时可设置输出范围和嵌入字体。输出范围"支持根据需要仅输出对应的页、工作表或者幻灯片，提高导出效率。“嵌入字体”是指在导出OFD文件时，将当前流式文档中用到的字体嵌入到OFD文件中，保证在公文流转的过程中即使当前机器缺少相应字体，也能正确排版显示。文字、表格、演示三个组件均可以自定义选项卡。用户可以根据自己使用需求，操作习惯自行设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2、文字、表格、演示三个组件均支持丰富的公式元素、支持更多设置，可以满足各种场景公式编写需求。公式元素包括9种常用的预设函数：三角恒等式、二次公式、二次项定理、勾股定理等；8大类公式符号：基础数学、希腊字母、字符类符号、运算符、箭头、求反关系运算符、手写体、几何学；提供11类函数结构：分数、极限和对数、运算符等。公式选项包含公式的通用设置，比如显示方式和排版位置，每种函数也提供特有的设置项，比如针对大型运算符，支持改变极限符号位置、显示下限、显示上限、拉伸N元运算符，需要更改公式显示效果时，不需要重新插入，只需更改对应的设置项即可。</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3、文字、表格、演示均支持以对象形式在文档中插入doc、xls、ppt、docx、xlsx、pptx、ofd、pdf 、压缩包等格式的文档，满足office相同组件或不同组件之间文档相互引用的场景，双击该对象时可以打开该文件的原始程序进行编辑，方便快捷。同时避免文档在不同平台流转时，无法查看历史文档中文档附件的问题。</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4、文字模块：文字组件，支持本地磁盘文件搜索。可以根据文档名称，文档内容，按照时间及文件类型搜索出符合条件的文档素材，搜索出来的文档支持直接查看和通过引用将文档内容直接插入到需要的文档中。</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5、文字组件，支持OFD预览功能，无需输出OFD即可预览输出OFD文件后的效果。文字组件，支持“返回上一次离开/编辑的位置、从上次编辑的位置继续”。能够快速回到上一次查看或编辑的位置。</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4"/>
              </w:rPr>
              <w:t>6、演示模块： 演示组件，支持134种智能图形（兼容SmartArt）。包括层次结构、列表、循环、流程等，其中97种支持插入和编辑，另外37种类型支持打开和编辑，方便用户使用及创造更加多元化演示文稿。</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设备安装调试验收完成，达到付款条件的一次性付清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严格依据采购合同设备参数标准，通过规范程序对设备数量、外观、质量、技术指标及配套服务进行逐项核查确认，确保交付成果符合约定的技术和性能要求。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整机全保，质保三年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依据法律规定与合同约定相结合协商处理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请提供投标文件目录索引并与文件内容相对应。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提供有效存续的企业营业执照（副本）等证书。供应商需在项目电子化交易系统中按要求上传相应证明文件并进行电子签章。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健全的财务会计制度的证明</w:t>
            </w:r>
          </w:p>
        </w:tc>
        <w:tc>
          <w:tcPr>
            <w:tcW w:type="dxa" w:w="3322"/>
          </w:tcPr>
          <w:p>
            <w:pPr>
              <w:pStyle w:val="null3"/>
            </w:pPr>
            <w:r>
              <w:rPr>
                <w:rFonts w:ascii="仿宋_GB2312" w:hAnsi="仿宋_GB2312" w:cs="仿宋_GB2312" w:eastAsia="仿宋_GB2312"/>
              </w:rPr>
              <w:t>（以下三种资料提供任意一种即可）： （1）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 （2）其开标前三个月内基本开户银行出具的资信证明； （3）信用担保机构出具的投标担保函。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社会保险参保缴费情况证明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提供递交投标文件截止之日前一年内任意一个月的社会保障资金缴存单据或社保机构开具的社会保险参保缴费情况证明。依法不需要缴纳社会保障资金的投标人应提供相关证明文件。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提供递交投标文件截止之日前一年内任意一个月的依法缴纳税收的完税证明，完税证明应有税务机关或代收机关的公章或业务专用章。依法免税或无须缴纳税收的投标人，应提供相应证明文件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案件当事人”名单；不处于“中国政府采购网”记录的“政府采购严重违法失信行为记录名单”中的禁止参加政府采购活动。</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投标人应提供《非联合体不分包投标声明》，视为独立投标，不分包。</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《政府采购促进中小企业发展管理办法》（财库〔2020〕46号） 中小企业声明函 供应商应提交的相关资格证明材料</w:t>
            </w:r>
          </w:p>
        </w:tc>
        <w:tc>
          <w:tcPr>
            <w:tcW w:type="dxa" w:w="1661"/>
          </w:tcPr>
          <w:p>
            <w:pPr>
              <w:pStyle w:val="null3"/>
            </w:pPr>
            <w:r>
              <w:rPr>
                <w:rFonts w:ascii="仿宋_GB2312" w:hAnsi="仿宋_GB2312" w:cs="仿宋_GB2312" w:eastAsia="仿宋_GB2312"/>
              </w:rPr>
              <w:t>投标函 中小企业声明函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残疾人福利性单位声明函</w:t>
            </w:r>
          </w:p>
        </w:tc>
        <w:tc>
          <w:tcPr>
            <w:tcW w:type="dxa" w:w="3322"/>
          </w:tcPr>
          <w:p>
            <w:pPr>
              <w:pStyle w:val="null3"/>
            </w:pPr>
            <w:r>
              <w:rPr>
                <w:rFonts w:ascii="仿宋_GB2312" w:hAnsi="仿宋_GB2312" w:cs="仿宋_GB2312" w:eastAsia="仿宋_GB2312"/>
              </w:rPr>
              <w:t>《关于促进残疾人就业政府采购政策的通知》（财库〔2017〕141号） 残疾人福利性单位声明函 供应商应提交的相关资格证明材料</w:t>
            </w:r>
          </w:p>
        </w:tc>
        <w:tc>
          <w:tcPr>
            <w:tcW w:type="dxa" w:w="1661"/>
          </w:tcPr>
          <w:p>
            <w:pPr>
              <w:pStyle w:val="null3"/>
            </w:pPr>
            <w:r>
              <w:rPr>
                <w:rFonts w:ascii="仿宋_GB2312" w:hAnsi="仿宋_GB2312" w:cs="仿宋_GB2312" w:eastAsia="仿宋_GB2312"/>
              </w:rPr>
              <w:t>投标函 残疾人福利性单位声明函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监狱企业的证明文件</w:t>
            </w:r>
          </w:p>
        </w:tc>
        <w:tc>
          <w:tcPr>
            <w:tcW w:type="dxa" w:w="3322"/>
          </w:tcPr>
          <w:p>
            <w:pPr>
              <w:pStyle w:val="null3"/>
            </w:pPr>
            <w:r>
              <w:rPr>
                <w:rFonts w:ascii="仿宋_GB2312" w:hAnsi="仿宋_GB2312" w:cs="仿宋_GB2312" w:eastAsia="仿宋_GB2312"/>
              </w:rPr>
              <w:t>《关于政府采购支持监狱企业发展有关问题的通知》（财库〔2014〕68号） 供应商应提交的相关资格证明材料 监狱企业的证明文件</w:t>
            </w:r>
          </w:p>
        </w:tc>
        <w:tc>
          <w:tcPr>
            <w:tcW w:type="dxa" w:w="1661"/>
          </w:tcPr>
          <w:p>
            <w:pPr>
              <w:pStyle w:val="null3"/>
            </w:pPr>
            <w:r>
              <w:rPr>
                <w:rFonts w:ascii="仿宋_GB2312" w:hAnsi="仿宋_GB2312" w:cs="仿宋_GB2312" w:eastAsia="仿宋_GB2312"/>
              </w:rPr>
              <w:t>投标函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投标文件内容及有效期</w:t>
            </w:r>
          </w:p>
        </w:tc>
        <w:tc>
          <w:tcPr>
            <w:tcW w:type="dxa" w:w="3322"/>
          </w:tcPr>
          <w:p>
            <w:pPr>
              <w:pStyle w:val="null3"/>
            </w:pPr>
            <w:r>
              <w:rPr>
                <w:rFonts w:ascii="仿宋_GB2312" w:hAnsi="仿宋_GB2312" w:cs="仿宋_GB2312" w:eastAsia="仿宋_GB2312"/>
              </w:rPr>
              <w:t>投标文件内容及有效期符合招标文件要求。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投标文件封面、投标函、项目单位、项目名称、项目编号等信息</w:t>
            </w:r>
          </w:p>
        </w:tc>
        <w:tc>
          <w:tcPr>
            <w:tcW w:type="dxa" w:w="3322"/>
          </w:tcPr>
          <w:p>
            <w:pPr>
              <w:pStyle w:val="null3"/>
            </w:pPr>
            <w:r>
              <w:rPr>
                <w:rFonts w:ascii="仿宋_GB2312" w:hAnsi="仿宋_GB2312" w:cs="仿宋_GB2312" w:eastAsia="仿宋_GB2312"/>
              </w:rPr>
              <w:t>均无遗漏，且与所投项目单位、项目名称、项目编号等信息一致。</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投标文件承诺、签署、盖章</w:t>
            </w:r>
          </w:p>
        </w:tc>
        <w:tc>
          <w:tcPr>
            <w:tcW w:type="dxa" w:w="3322"/>
          </w:tcPr>
          <w:p>
            <w:pPr>
              <w:pStyle w:val="null3"/>
            </w:pPr>
            <w:r>
              <w:rPr>
                <w:rFonts w:ascii="仿宋_GB2312" w:hAnsi="仿宋_GB2312" w:cs="仿宋_GB2312" w:eastAsia="仿宋_GB2312"/>
              </w:rPr>
              <w:t>均按招标文件要求承诺、签字、盖章（评分标准中要求提供的证明材料除外）</w:t>
            </w:r>
          </w:p>
        </w:tc>
        <w:tc>
          <w:tcPr>
            <w:tcW w:type="dxa" w:w="1661"/>
          </w:tcPr>
          <w:p>
            <w:pPr>
              <w:pStyle w:val="null3"/>
            </w:pPr>
            <w:r>
              <w:rPr>
                <w:rFonts w:ascii="仿宋_GB2312" w:hAnsi="仿宋_GB2312" w:cs="仿宋_GB2312" w:eastAsia="仿宋_GB2312"/>
              </w:rPr>
              <w:t>投标方案.docx 开标一览表 中小企业声明函 商务应答表 投标人应提交的相关资格证明材料 书面承诺函.docx 产品技术参数表 响应偏差表.docx 投标函 残疾人福利性单位声明函 设备分项报价表.docx 标的清单 投标文件封面 投标人认为需要提交的其他资料.docx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（4）单项报价不得超出单项预算，总报价不得超出采购预算或招标文件规定的最高限价。</w:t>
            </w:r>
          </w:p>
        </w:tc>
        <w:tc>
          <w:tcPr>
            <w:tcW w:type="dxa" w:w="1661"/>
          </w:tcPr>
          <w:p>
            <w:pPr>
              <w:pStyle w:val="null3"/>
            </w:pPr>
            <w:r>
              <w:rPr>
                <w:rFonts w:ascii="仿宋_GB2312" w:hAnsi="仿宋_GB2312" w:cs="仿宋_GB2312" w:eastAsia="仿宋_GB2312"/>
              </w:rPr>
              <w:t>开标一览表 设备分项报价表.docx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 xml:space="preserve"> 完全理解并接受招标文件合同条款要求的描述。</w:t>
            </w:r>
          </w:p>
        </w:tc>
        <w:tc>
          <w:tcPr>
            <w:tcW w:type="dxa" w:w="1661"/>
          </w:tcPr>
          <w:p>
            <w:pPr>
              <w:pStyle w:val="null3"/>
            </w:pPr>
            <w:r>
              <w:rPr>
                <w:rFonts w:ascii="仿宋_GB2312" w:hAnsi="仿宋_GB2312" w:cs="仿宋_GB2312" w:eastAsia="仿宋_GB2312"/>
              </w:rPr>
              <w:t>投标方案.docx 开标一览表 产品技术参数表 响应偏差表.docx 投标函 商务应答表 设备分项报价表.docx 标的清单 投标文件封面 投标人认为需要提交的其他资料.docx 书面承诺函.docx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投标方案.docx 开标一览表 产品技术参数表 响应偏差表.docx 商务应答表 设备分项报价表.docx 标的清单 投标文件封面 投标人认为需要提交的其他资料.docx 书面承诺函.docx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所投产品技术参数完全满足招标文件要求，没有负偏离计32分。 1、技术参数中标“★”项为实质性要求，不满足按无效文件处理； 2、技术参数中标“▲”项（共16项）满分16分，负偏离一项扣1分；扣完为止；3、▲项的性能优于招标文件要求，具有实际使用价值的提升，经评标委员会一致认定每项可加1分，满分16分。 注：1.标“★”项参数须提供佐证材料（ 包括但不限于技术白皮书或第三方检测报告等），否则按无效文件处理；2.技术参数中标“▲”项技术参数须提供佐证材料（包括不限于产品彩页、第三方检测报告、官网功能截图等）；未提供或所提供材料模糊不清、所提供材料无法有效证明的将视为不满足本参数要求，按负偏离进行扣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针对本项目提供完整详细的项目实施方案。 内容包含：①项目总实施计划②供货组织安排③安装、调试及验收方案④物力调配及保障措施。 二、评审标准 1、完整性：方案全面，从签订合同到项目验收等各环节都有详细描述； 2、可实施性：切合本项目实际情况，实施步骤清晰、合理； 3、针对性：方案能够紧扣项目实际情况，科学合理。 三、赋分依据（满分 12 分） ①项目总实施计划：每完全满足一个评审标准得1 分，满分3分； ②供货组织安排：每完全满足一个评审标准得1分，满分3分； ③安装、调试及验收方案：每完全满足一个评审标准得1 分，满分 3 分； ④物力调配及保障措施：每完全满足一个评审标准得1分，满分3分。"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一、评审内容根据项目实际需求，提供质量保证方案。 内容包含：①产品来源渠道②质量保证措施③定期巡检方案： 二、评审标准 1、完整性：方案须全面详细；2、可实施性：切合本项目实际情况便于实施。 三、赋分依据（满分10分） ①产品来源渠道：提供包含但不限于产品授权、代理协议，销售协议、软件著作权使用许可等，提供一项产品的合法来源证明文件得 1 分，满分4 分。不提供不得分。②质量保证措施：对质保范围、质量标准、质保期限、备品备件、责任界定等每完全满足一个评审标准得0.5 分，满分5分；③定期巡检方案：质保期内每年定期对设备进行检查维护，保证设备正常使用等每完全满足一个评审标准得0.5分，满分1分。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投标人所投产品为“环境标志产品政府采购品目清单”内的，应提供该产品由国家确定的认证机构出具的中国环境标志产品认证证书且处于有效期内得2分，未提供或超期不得分，满分2 分。备注：以加盖投标人公章的证明材料为计分依据。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针对本项目编制具体可行的安全文明施工措施。 内容包含：①施工现场环境保障措施②文明施工及安全防护措施③施工场地清洁与安全复原。 二、评审标准 1、完整性：方案必须全面，有详细描述； 2、落实性：切合项目具体情况，提出责任明确、要求具体的方案； 三、赋分依据（满分 3 分） ①施工现场环境保护措施：对施工现场安全及措施，每完全满足一个评审标准得0.5分，满分 1分； ②文明施工及安全防护措施：对施工作业要求、安全防护措施，每完全满足一个评审标准得0.5分，满分1分。 ③施工场地清洁与安全复原：对施工现场及时清理垃圾、现场复原，每完全满足一个评审标准得0.5分，满分1分。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投标人认为需要提交的其他资料.docx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根据项目实际需求提供售后服务方案。内容包含：①售后服务范围及保障措施②响应时间、响应方式③故障处理及应急处理措施。 二、评审标准 1.完整性：方案须全面，对评审内容中的各项要求有详细描述； 2.可实施性：切合本项目实际情况，提出步骤清晰、合理的方案； 三、赋分依据（满分 6 分） ①售后服务范围及保障措施：每完全满足一个评审标准得1分，满分2分； ②响应时间、响应方式：每完全满足一个评审标准得1分，满分2 分； ③故障处理及应急处理措施：每完全满足一个评审标准得1分，满分2分。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书面承诺函.docx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响应偏差表.docx</w:t>
            </w:r>
          </w:p>
          <w:p>
            <w:pPr>
              <w:pStyle w:val="null3"/>
            </w:pPr>
            <w:r>
              <w:rPr>
                <w:rFonts w:ascii="仿宋_GB2312" w:hAnsi="仿宋_GB2312" w:cs="仿宋_GB2312" w:eastAsia="仿宋_GB2312"/>
              </w:rPr>
              <w:t>投标人认为需要提交的其他资料.docx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35％×100。（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设备分项报价表.docx</w:t>
            </w:r>
          </w:p>
          <w:p>
            <w:pPr>
              <w:pStyle w:val="null3"/>
            </w:pPr>
            <w:r>
              <w:rPr>
                <w:rFonts w:ascii="仿宋_GB2312" w:hAnsi="仿宋_GB2312" w:cs="仿宋_GB2312" w:eastAsia="仿宋_GB2312"/>
              </w:rPr>
              <w:t>投标函</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本项目授权评标委员会直接确认中标供应商，确认后代理机构在陕西省政府采购网上发布中标公告，同时向中标供应商发出中标通知书。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详见附件：书面承诺函.docx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详见附件：设备分项报价表.docx</w:t>
      </w:r>
    </w:p>
    <w:p>
      <w:pPr>
        <w:pStyle w:val="null3"/>
        <w:ind w:firstLine="960"/>
      </w:pPr>
      <w:r>
        <w:rPr>
          <w:rFonts w:ascii="仿宋_GB2312" w:hAnsi="仿宋_GB2312" w:cs="仿宋_GB2312" w:eastAsia="仿宋_GB2312"/>
        </w:rPr>
        <w:t>详见附件：响应偏差表.docx</w:t>
      </w:r>
    </w:p>
    <w:p>
      <w:pPr>
        <w:pStyle w:val="null3"/>
        <w:ind w:firstLine="960"/>
      </w:pPr>
      <w:r>
        <w:rPr>
          <w:rFonts w:ascii="仿宋_GB2312" w:hAnsi="仿宋_GB2312" w:cs="仿宋_GB2312" w:eastAsia="仿宋_GB2312"/>
        </w:rPr>
        <w:t>详见附件：投标人认为需要提交的其他资料.docx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