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版本号：SXZY-25002220251011001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2025年网络出口带宽与运维服务项目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SXZY-250022</w:t>
      </w:r>
      <w:r>
        <w:br/>
      </w:r>
      <w:r>
        <w:br/>
      </w:r>
      <w:r>
        <w:br/>
      </w:r>
    </w:p>
    <w:p>
      <w:pPr>
        <w:pStyle w:val="null3"/>
        <w:jc w:val="center"/>
        <w:outlineLvl w:val="2"/>
      </w:pPr>
      <w:r>
        <w:rPr>
          <w:rFonts w:ascii="仿宋_GB2312" w:hAnsi="仿宋_GB2312" w:cs="仿宋_GB2312" w:eastAsia="仿宋_GB2312"/>
          <w:sz w:val="28"/>
          <w:b/>
        </w:rPr>
        <w:t>铜川职业技术学院</w:t>
      </w:r>
    </w:p>
    <w:p>
      <w:pPr>
        <w:pStyle w:val="null3"/>
        <w:jc w:val="center"/>
        <w:outlineLvl w:val="2"/>
      </w:pPr>
      <w:r>
        <w:rPr>
          <w:rFonts w:ascii="仿宋_GB2312" w:hAnsi="仿宋_GB2312" w:cs="仿宋_GB2312" w:eastAsia="仿宋_GB2312"/>
          <w:sz w:val="28"/>
          <w:b/>
        </w:rPr>
        <w:t>陕西卓越工程项目管理有限公司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陕西卓越工程项目管理有限公司</w:t>
      </w:r>
      <w:r>
        <w:rPr>
          <w:rFonts w:ascii="仿宋_GB2312" w:hAnsi="仿宋_GB2312" w:cs="仿宋_GB2312" w:eastAsia="仿宋_GB2312"/>
        </w:rPr>
        <w:t>（以下简称“代理机构”）受</w:t>
      </w:r>
      <w:r>
        <w:rPr>
          <w:rFonts w:ascii="仿宋_GB2312" w:hAnsi="仿宋_GB2312" w:cs="仿宋_GB2312" w:eastAsia="仿宋_GB2312"/>
        </w:rPr>
        <w:t>铜川职业技术学院</w:t>
      </w:r>
      <w:r>
        <w:rPr>
          <w:rFonts w:ascii="仿宋_GB2312" w:hAnsi="仿宋_GB2312" w:cs="仿宋_GB2312" w:eastAsia="仿宋_GB2312"/>
        </w:rPr>
        <w:t>委托，拟对</w:t>
      </w:r>
      <w:r>
        <w:rPr>
          <w:rFonts w:ascii="仿宋_GB2312" w:hAnsi="仿宋_GB2312" w:cs="仿宋_GB2312" w:eastAsia="仿宋_GB2312"/>
        </w:rPr>
        <w:t>2025年网络出口带宽与运维服务项目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SXZY-250022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2025年网络出口带宽与运维服务项目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本项目为校园互联网专线服务，用于互联网资源访问的网络出口线路，需满足日常教学、科研、办公及学生生活等互联网与信息网站发布需求。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独立经营主体证明：供应商应为具有独立承担民事责任能力的法人或其他组织，提供法人或者其他组织的营业执照等证明文件(分公司投标须附总公司授权)；自然人参与项目的，需提供自然人的身份证明。</w:t>
      </w:r>
    </w:p>
    <w:p>
      <w:pPr>
        <w:pStyle w:val="null3"/>
      </w:pPr>
      <w:r>
        <w:rPr>
          <w:rFonts w:ascii="仿宋_GB2312" w:hAnsi="仿宋_GB2312" w:cs="仿宋_GB2312" w:eastAsia="仿宋_GB2312"/>
        </w:rPr>
        <w:t>2、财务状况报告：提供经审计的2023年度或2024年度的财务报告或提交响应文件截止时间前六个月内其基本账户开户银行出具的资信证明（须同时提供基本账户信息）；其他组织和自然人提供银行出具的资信证明或财务报表。</w:t>
      </w:r>
    </w:p>
    <w:p>
      <w:pPr>
        <w:pStyle w:val="null3"/>
      </w:pPr>
      <w:r>
        <w:rPr>
          <w:rFonts w:ascii="仿宋_GB2312" w:hAnsi="仿宋_GB2312" w:cs="仿宋_GB2312" w:eastAsia="仿宋_GB2312"/>
        </w:rPr>
        <w:t>3、税收缴纳证明：提供2024年9月至今任意一个月的纳税证明或税务机关开具的完税证明，依法免税的单位应提供相关证明材料。</w:t>
      </w:r>
    </w:p>
    <w:p>
      <w:pPr>
        <w:pStyle w:val="null3"/>
      </w:pPr>
      <w:r>
        <w:rPr>
          <w:rFonts w:ascii="仿宋_GB2312" w:hAnsi="仿宋_GB2312" w:cs="仿宋_GB2312" w:eastAsia="仿宋_GB2312"/>
        </w:rPr>
        <w:t>4、社会保障资金缴纳证明：提供2024年9月至今任意一个月已缴存的社会保障资金缴存单据或社保机构开具的社会保险参保缴费证明，依法不需要缴纳社会保障资金的单位应提供相关证明材料。</w:t>
      </w:r>
    </w:p>
    <w:p>
      <w:pPr>
        <w:pStyle w:val="null3"/>
      </w:pPr>
      <w:r>
        <w:rPr>
          <w:rFonts w:ascii="仿宋_GB2312" w:hAnsi="仿宋_GB2312" w:cs="仿宋_GB2312" w:eastAsia="仿宋_GB2312"/>
        </w:rPr>
        <w:t>5、履约能力书面声明：具有履行合同所必需的设备和专业技术能力，提供书面声明。</w:t>
      </w:r>
    </w:p>
    <w:p>
      <w:pPr>
        <w:pStyle w:val="null3"/>
      </w:pPr>
      <w:r>
        <w:rPr>
          <w:rFonts w:ascii="仿宋_GB2312" w:hAnsi="仿宋_GB2312" w:cs="仿宋_GB2312" w:eastAsia="仿宋_GB2312"/>
        </w:rPr>
        <w:t>6、无重大违法记录书面声明：参加采购活动前三年内在经营活动中无重大违法记录，提供书面声明。</w:t>
      </w:r>
    </w:p>
    <w:p>
      <w:pPr>
        <w:pStyle w:val="null3"/>
      </w:pPr>
      <w:r>
        <w:rPr>
          <w:rFonts w:ascii="仿宋_GB2312" w:hAnsi="仿宋_GB2312" w:cs="仿宋_GB2312" w:eastAsia="仿宋_GB2312"/>
        </w:rPr>
        <w:t>7、信用查询截图：供应商不得为“信用中国”网站（www.creditchina.gov.cn）被列入“失信被执行人”“重大税收违法案件当事人名单”的供应商，不得为“中国政府采购网”(www.ccgp.gov.cn)被列入“政府采购严重违法失信行为记录名单”的供应商，提供查询截图。</w:t>
      </w:r>
    </w:p>
    <w:p>
      <w:pPr>
        <w:pStyle w:val="null3"/>
      </w:pPr>
      <w:r>
        <w:rPr>
          <w:rFonts w:ascii="仿宋_GB2312" w:hAnsi="仿宋_GB2312" w:cs="仿宋_GB2312" w:eastAsia="仿宋_GB2312"/>
        </w:rPr>
        <w:t>8、关联关系书面声明：单位负责人为同一人或者存在直接控股、管理关系的供应商，不得参加同一合同项下的政府采购；为采购人提供整体设计、规范编制或者项目管理、监理、检测等服务的供应商，不得参加本项目的采购活动，提供书面声明。</w:t>
      </w:r>
    </w:p>
    <w:p>
      <w:pPr>
        <w:pStyle w:val="null3"/>
      </w:pPr>
      <w:r>
        <w:rPr>
          <w:rFonts w:ascii="仿宋_GB2312" w:hAnsi="仿宋_GB2312" w:cs="仿宋_GB2312" w:eastAsia="仿宋_GB2312"/>
        </w:rPr>
        <w:t>9、身份证明：提供企业法人授权委托书和被授权人有效身份证件（法定代表人直接参加时，只须提供法定代表人身份证明）。</w:t>
      </w:r>
    </w:p>
    <w:p>
      <w:pPr>
        <w:pStyle w:val="null3"/>
      </w:pPr>
      <w:r>
        <w:rPr>
          <w:rFonts w:ascii="仿宋_GB2312" w:hAnsi="仿宋_GB2312" w:cs="仿宋_GB2312" w:eastAsia="仿宋_GB2312"/>
        </w:rPr>
        <w:t>10、非联合体投标书面声明：本项目不接受联合体投标，提供非联合体投标书面声明。</w:t>
      </w:r>
    </w:p>
    <w:p>
      <w:pPr>
        <w:pStyle w:val="null3"/>
      </w:pPr>
      <w:r>
        <w:rPr>
          <w:rFonts w:ascii="仿宋_GB2312" w:hAnsi="仿宋_GB2312" w:cs="仿宋_GB2312" w:eastAsia="仿宋_GB2312"/>
        </w:rPr>
        <w:t>11、资质证明：具有《基础电信业务经营许可证》或具有投标方非基础电信资质持证主体，但持有基础运营商（指中国移动/中国联通/中国电信/中国广电）出具的有效授权书（明确授权范围、期限及排他性）。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独立经营主体证明：供应商应为具有独立承担民事责任能力的法人或其他组织，提供法人或者其他组织的营业执照等证明文件(分公司投标须附总公司授权)；自然人参与项目的，需提供自然人的身份证明。</w:t>
      </w:r>
    </w:p>
    <w:p>
      <w:pPr>
        <w:pStyle w:val="null3"/>
      </w:pPr>
      <w:r>
        <w:rPr>
          <w:rFonts w:ascii="仿宋_GB2312" w:hAnsi="仿宋_GB2312" w:cs="仿宋_GB2312" w:eastAsia="仿宋_GB2312"/>
        </w:rPr>
        <w:t>2、财务状况报告：提供经审计的2023年度或2024年度的财务报告或提交响应文件截止时间前六个月内其基本账户开户银行出具的资信证明（须同时提供基本账户信息）；其他组织和自然人提供银行出具的资信证明或财务报表。</w:t>
      </w:r>
    </w:p>
    <w:p>
      <w:pPr>
        <w:pStyle w:val="null3"/>
      </w:pPr>
      <w:r>
        <w:rPr>
          <w:rFonts w:ascii="仿宋_GB2312" w:hAnsi="仿宋_GB2312" w:cs="仿宋_GB2312" w:eastAsia="仿宋_GB2312"/>
        </w:rPr>
        <w:t>3、税收缴纳证明：提供2024年9月至今任意一个月的纳税证明或税务机关开具的完税证明，依法免税的单位应提供相关证明材料。</w:t>
      </w:r>
    </w:p>
    <w:p>
      <w:pPr>
        <w:pStyle w:val="null3"/>
      </w:pPr>
      <w:r>
        <w:rPr>
          <w:rFonts w:ascii="仿宋_GB2312" w:hAnsi="仿宋_GB2312" w:cs="仿宋_GB2312" w:eastAsia="仿宋_GB2312"/>
        </w:rPr>
        <w:t>4、社会保障资金缴纳证明：提供2024年9月至今任意一个月已缴存的社会保障资金缴存单据或社保机构开具的社会保险参保缴费证明，依法不需要缴纳社会保障资金的单位应提供相关证明材料。</w:t>
      </w:r>
    </w:p>
    <w:p>
      <w:pPr>
        <w:pStyle w:val="null3"/>
      </w:pPr>
      <w:r>
        <w:rPr>
          <w:rFonts w:ascii="仿宋_GB2312" w:hAnsi="仿宋_GB2312" w:cs="仿宋_GB2312" w:eastAsia="仿宋_GB2312"/>
        </w:rPr>
        <w:t>5、履约能力书面声明：具有履行合同所必需的设备和专业技术能力，提供书面声明。</w:t>
      </w:r>
    </w:p>
    <w:p>
      <w:pPr>
        <w:pStyle w:val="null3"/>
      </w:pPr>
      <w:r>
        <w:rPr>
          <w:rFonts w:ascii="仿宋_GB2312" w:hAnsi="仿宋_GB2312" w:cs="仿宋_GB2312" w:eastAsia="仿宋_GB2312"/>
        </w:rPr>
        <w:t>6、无重大违法记录书面声明：参加采购活动前三年内在经营活动中无重大违法记录，提供书面声明。</w:t>
      </w:r>
    </w:p>
    <w:p>
      <w:pPr>
        <w:pStyle w:val="null3"/>
      </w:pPr>
      <w:r>
        <w:rPr>
          <w:rFonts w:ascii="仿宋_GB2312" w:hAnsi="仿宋_GB2312" w:cs="仿宋_GB2312" w:eastAsia="仿宋_GB2312"/>
        </w:rPr>
        <w:t>7、信用查询截图：供应商不得为“信用中国”网站（www.creditchina.gov.cn）被列入“失信被执行人”“重大税收违法案件当事人名单”的供应商，不得为“中国政府采购网”(www.ccgp.gov.cn)被列入“政府采购严重违法失信行为记录名单”的供应商，提供查询截图。</w:t>
      </w:r>
    </w:p>
    <w:p>
      <w:pPr>
        <w:pStyle w:val="null3"/>
      </w:pPr>
      <w:r>
        <w:rPr>
          <w:rFonts w:ascii="仿宋_GB2312" w:hAnsi="仿宋_GB2312" w:cs="仿宋_GB2312" w:eastAsia="仿宋_GB2312"/>
        </w:rPr>
        <w:t>8、关联关系书面声明：单位负责人为同一人或者存在直接控股、管理关系的供应商，不得参加同一合同项下的政府采购；为采购人提供整体设计、规范编制或者项目管理、监理、检测等服务的供应商，不得参加本项目的采购活动，提供书面声明。</w:t>
      </w:r>
    </w:p>
    <w:p>
      <w:pPr>
        <w:pStyle w:val="null3"/>
      </w:pPr>
      <w:r>
        <w:rPr>
          <w:rFonts w:ascii="仿宋_GB2312" w:hAnsi="仿宋_GB2312" w:cs="仿宋_GB2312" w:eastAsia="仿宋_GB2312"/>
        </w:rPr>
        <w:t>9、身份证明：提供企业法人授权委托书和被授权人有效身份证件（法定代表人直接参加时，只须提供法定代表人身份证明）。</w:t>
      </w:r>
    </w:p>
    <w:p>
      <w:pPr>
        <w:pStyle w:val="null3"/>
      </w:pPr>
      <w:r>
        <w:rPr>
          <w:rFonts w:ascii="仿宋_GB2312" w:hAnsi="仿宋_GB2312" w:cs="仿宋_GB2312" w:eastAsia="仿宋_GB2312"/>
        </w:rPr>
        <w:t>10、非联合体投标书面声明：本项目不接受联合体投标，提供非联合体投标书面声明。</w:t>
      </w:r>
    </w:p>
    <w:p>
      <w:pPr>
        <w:pStyle w:val="null3"/>
      </w:pPr>
      <w:r>
        <w:rPr>
          <w:rFonts w:ascii="仿宋_GB2312" w:hAnsi="仿宋_GB2312" w:cs="仿宋_GB2312" w:eastAsia="仿宋_GB2312"/>
        </w:rPr>
        <w:t>11、资质证明：具有《基础电信业务经营许可证》或具有投标方非基础电信资质持证主体，但持有基础运营商（指中国移动/中国联通/中国电信/中国广电）出具的有效授权书（明确授权范围、期限及排他性）。</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铜川新区朝阳路8号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陈帮贵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13909190979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陕西卓越工程项目管理有限公司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陕西省西安市雁塔区西安市高新区丈八街办高新路88号尚品国际A幢21704室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18909232629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采购包1：518,000.00元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参照《国家计委关于印发&lt;招标代理服务收费管理暂行办法&gt;的通知》（计价格〔2002〕1980号）；国家发展改革委2011年下发的文件《调整后的招标代理服务收费标准》(发改价格〔2011〕〕534号)规定标准收取。若代理服务费不足5000元，按5000元收取。 2、中标供应商人应在领取成交通知书的同时，以转账方式向陕西卓越工程项目管理有限公司交纳本项目代理服务费。 户 名：陕西卓越工程项目管理有限公司 开户银行：招商银行西安钟楼支行 账号：129908404810601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铜川职业技术学院</w:t>
      </w:r>
      <w:r>
        <w:rPr>
          <w:rFonts w:ascii="仿宋_GB2312" w:hAnsi="仿宋_GB2312" w:cs="仿宋_GB2312" w:eastAsia="仿宋_GB2312"/>
        </w:rPr>
        <w:t>和</w:t>
      </w:r>
      <w:r>
        <w:rPr>
          <w:rFonts w:ascii="仿宋_GB2312" w:hAnsi="仿宋_GB2312" w:cs="仿宋_GB2312" w:eastAsia="仿宋_GB2312"/>
        </w:rPr>
        <w:t>陕西卓越工程项目管理有限公司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陕西卓越工程项目管理有限公司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陕西卓越工程项目管理有限公司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依据招标文件、投标文件及合同约定的服务内容、质量标准、技术规范等执行。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依据招标文件、投标文件及合同约定的服务内容、质量标准、技术规范等执行。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陕西卓越工程项目管理有限公司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陕西卓越工程项目管理有限公司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陕西卓越工程项目管理有限公司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联系人：陕西卓越工程项目管理有限公司</w:t>
      </w:r>
    </w:p>
    <w:p>
      <w:pPr>
        <w:pStyle w:val="null3"/>
      </w:pPr>
      <w:r>
        <w:rPr>
          <w:rFonts w:ascii="仿宋_GB2312" w:hAnsi="仿宋_GB2312" w:cs="仿宋_GB2312" w:eastAsia="仿宋_GB2312"/>
        </w:rPr>
        <w:t>联系电话：18909232629</w:t>
      </w:r>
    </w:p>
    <w:p>
      <w:pPr>
        <w:pStyle w:val="null3"/>
      </w:pPr>
      <w:r>
        <w:rPr>
          <w:rFonts w:ascii="仿宋_GB2312" w:hAnsi="仿宋_GB2312" w:cs="仿宋_GB2312" w:eastAsia="仿宋_GB2312"/>
        </w:rPr>
        <w:t>地址：西安市高新区丈八街办高新路88号尚品国际A幢21704室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本项目为校园互联网专线服务，用于互联网资源访问的网络出口线路，需满足日常教学、科研、办公及学生生活等互联网与信息网站发布需求。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518,000.00</w:t>
      </w:r>
    </w:p>
    <w:p>
      <w:pPr>
        <w:pStyle w:val="null3"/>
      </w:pPr>
      <w:r>
        <w:rPr>
          <w:rFonts w:ascii="仿宋_GB2312" w:hAnsi="仿宋_GB2312" w:cs="仿宋_GB2312" w:eastAsia="仿宋_GB2312"/>
        </w:rPr>
        <w:t>采购包最高限价（元）: 518,000.00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标段一：主链路带宽与运维服务采购项目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标段二：备用链路带宽与运维服务采购项目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标的名称：标段一：主链路带宽与运维服务采购项目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 xml:space="preserve">  投标方需落实《教育部等九部门关于加快推进教育数字化的意见》中关于</w:t>
            </w:r>
            <w:r>
              <w:rPr>
                <w:rFonts w:ascii="仿宋_GB2312" w:hAnsi="仿宋_GB2312" w:cs="仿宋_GB2312" w:eastAsia="仿宋_GB2312"/>
                <w:sz w:val="24"/>
              </w:rPr>
              <w:t>“基础电信企业对各级各类学校的网络使用资费给予优惠”的相关要求，并按照以下技术要求进行投标：</w:t>
            </w:r>
          </w:p>
          <w:tbl>
            <w:tblPr>
              <w:tblBorders>
                <w:top w:val="none" w:color="000000" w:sz="4"/>
                <w:left w:val="none" w:color="000000" w:sz="4"/>
                <w:bottom w:val="none" w:color="000000" w:sz="4"/>
                <w:right w:val="none" w:color="000000" w:sz="4"/>
                <w:insideH w:val="none"/>
                <w:insideV w:val="none"/>
              </w:tblBorders>
            </w:tblPr>
            <w:tblGrid>
              <w:gridCol w:w="386"/>
              <w:gridCol w:w="429"/>
              <w:gridCol w:w="1409"/>
              <w:gridCol w:w="323"/>
            </w:tblGrid>
            <w:tr>
              <w:tc>
                <w:tcPr>
                  <w:tcW w:type="dxa" w:w="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类别</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1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内容</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3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技术要求</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1.接入方式</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①★单一运营商单模光纤直连，独享带宽；</w:t>
                  </w:r>
                </w:p>
                <w:p>
                  <w:pPr>
                    <w:pStyle w:val="null3"/>
                    <w:jc w:val="both"/>
                  </w:pPr>
                  <w:r>
                    <w:rPr>
                      <w:rFonts w:ascii="仿宋_GB2312" w:hAnsi="仿宋_GB2312" w:cs="仿宋_GB2312" w:eastAsia="仿宋_GB2312"/>
                      <w:sz w:val="21"/>
                    </w:rPr>
                    <w:t>②不共享、不缓存、不转接;</w:t>
                  </w:r>
                </w:p>
                <w:p>
                  <w:pPr>
                    <w:pStyle w:val="null3"/>
                    <w:jc w:val="both"/>
                  </w:pPr>
                  <w:r>
                    <w:rPr>
                      <w:rFonts w:ascii="仿宋_GB2312" w:hAnsi="仿宋_GB2312" w:cs="仿宋_GB2312" w:eastAsia="仿宋_GB2312"/>
                      <w:sz w:val="21"/>
                    </w:rPr>
                    <w:t>③提供详细线路连接图；</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6"/>
                  <w:vMerge/>
                  <w:tcBorders>
                    <w:top w:val="none" w:color="000000" w:sz="4"/>
                    <w:left w:val="single" w:color="000000" w:sz="4"/>
                    <w:bottom w:val="single" w:color="000000" w:sz="4"/>
                    <w:right w:val="single" w:color="000000" w:sz="4"/>
                  </w:tcBorders>
                </w:tc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2.接入带宽</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①★≥5Gbps，上下行对等；</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6"/>
                  <w:vMerge/>
                  <w:tcBorders>
                    <w:top w:val="none" w:color="000000" w:sz="4"/>
                    <w:left w:val="single" w:color="000000" w:sz="4"/>
                    <w:bottom w:val="single" w:color="000000" w:sz="4"/>
                    <w:right w:val="single" w:color="000000" w:sz="4"/>
                  </w:tcBorders>
                </w:tc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3.线路质量</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①线路总衰减≤16db，时延≤10ms,链路丢包率≤1%；</w:t>
                  </w:r>
                </w:p>
                <w:p>
                  <w:pPr>
                    <w:pStyle w:val="null3"/>
                    <w:jc w:val="both"/>
                  </w:pPr>
                  <w:r>
                    <w:rPr>
                      <w:rFonts w:ascii="仿宋_GB2312" w:hAnsi="仿宋_GB2312" w:cs="仿宋_GB2312" w:eastAsia="仿宋_GB2312"/>
                      <w:sz w:val="21"/>
                    </w:rPr>
                    <w:t>②至省内骨干丢包≤0.1%，时延≤10 ms；</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6"/>
                  <w:vMerge/>
                  <w:tcBorders>
                    <w:top w:val="none" w:color="000000" w:sz="4"/>
                    <w:left w:val="single" w:color="000000" w:sz="4"/>
                    <w:bottom w:val="single" w:color="000000" w:sz="4"/>
                    <w:right w:val="single" w:color="000000" w:sz="4"/>
                  </w:tcBorders>
                </w:tc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4.网络资源</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①提供公网IPv4地址≥20个；</w:t>
                  </w:r>
                </w:p>
                <w:p>
                  <w:pPr>
                    <w:pStyle w:val="null3"/>
                    <w:jc w:val="both"/>
                  </w:pPr>
                  <w:r>
                    <w:rPr>
                      <w:rFonts w:ascii="仿宋_GB2312" w:hAnsi="仿宋_GB2312" w:cs="仿宋_GB2312" w:eastAsia="仿宋_GB2312"/>
                      <w:sz w:val="21"/>
                    </w:rPr>
                    <w:t>②提供1个/48前缀IPv6地址；</w:t>
                  </w:r>
                </w:p>
                <w:p>
                  <w:pPr>
                    <w:pStyle w:val="null3"/>
                    <w:jc w:val="both"/>
                  </w:pPr>
                  <w:r>
                    <w:rPr>
                      <w:rFonts w:ascii="仿宋_GB2312" w:hAnsi="仿宋_GB2312" w:cs="仿宋_GB2312" w:eastAsia="仿宋_GB2312"/>
                      <w:sz w:val="21"/>
                    </w:rPr>
                    <w:t>③支持</w:t>
                  </w:r>
                  <w:r>
                    <w:rPr>
                      <w:rFonts w:ascii="仿宋_GB2312" w:hAnsi="仿宋_GB2312" w:cs="仿宋_GB2312" w:eastAsia="仿宋_GB2312"/>
                      <w:sz w:val="21"/>
                    </w:rPr>
                    <w:t>已备案系统通过提供的地址进行信息网站发布</w:t>
                  </w:r>
                  <w:r>
                    <w:rPr>
                      <w:rFonts w:ascii="仿宋_GB2312" w:hAnsi="仿宋_GB2312" w:cs="仿宋_GB2312" w:eastAsia="仿宋_GB2312"/>
                      <w:sz w:val="21"/>
                    </w:rPr>
                    <w:t>；</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6"/>
                  <w:vMerge/>
                  <w:tcBorders>
                    <w:top w:val="none" w:color="000000" w:sz="4"/>
                    <w:left w:val="single" w:color="000000" w:sz="4"/>
                    <w:bottom w:val="single" w:color="000000" w:sz="4"/>
                    <w:right w:val="single" w:color="000000" w:sz="4"/>
                  </w:tcBorders>
                </w:tc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5、双域专网</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w:t>
                  </w:r>
                  <w:r>
                    <w:rPr>
                      <w:rFonts w:ascii="仿宋_GB2312" w:hAnsi="仿宋_GB2312" w:cs="仿宋_GB2312" w:eastAsia="仿宋_GB2312"/>
                      <w:sz w:val="21"/>
                    </w:rPr>
                    <w:t>5G双域专网服务，能够实现网络互通，拓展5G应用场景</w:t>
                  </w:r>
                  <w:r>
                    <w:rPr>
                      <w:rFonts w:ascii="仿宋_GB2312" w:hAnsi="仿宋_GB2312" w:cs="仿宋_GB2312" w:eastAsia="仿宋_GB2312"/>
                      <w:sz w:val="21"/>
                    </w:rPr>
                    <w:t>（需提供技术方案及相关证明材料）</w:t>
                  </w:r>
                  <w:r>
                    <w:rPr>
                      <w:rFonts w:ascii="仿宋_GB2312" w:hAnsi="仿宋_GB2312" w:cs="仿宋_GB2312" w:eastAsia="仿宋_GB2312"/>
                      <w:sz w:val="21"/>
                    </w:rPr>
                    <w:t>；</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6"/>
                  <w:vMerge/>
                  <w:tcBorders>
                    <w:top w:val="none" w:color="000000" w:sz="4"/>
                    <w:left w:val="single" w:color="000000" w:sz="4"/>
                    <w:bottom w:val="single" w:color="000000" w:sz="4"/>
                    <w:right w:val="single" w:color="000000" w:sz="4"/>
                  </w:tcBorders>
                </w:tc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6.安全防护</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①具备必要的网络安全防护措施，能够有效</w:t>
                  </w:r>
                  <w:r>
                    <w:rPr>
                      <w:rFonts w:ascii="仿宋_GB2312" w:hAnsi="仿宋_GB2312" w:cs="仿宋_GB2312" w:eastAsia="仿宋_GB2312"/>
                      <w:sz w:val="21"/>
                    </w:rPr>
                    <w:t>过滤</w:t>
                  </w:r>
                  <w:r>
                    <w:rPr>
                      <w:rFonts w:ascii="仿宋_GB2312" w:hAnsi="仿宋_GB2312" w:cs="仿宋_GB2312" w:eastAsia="仿宋_GB2312"/>
                      <w:sz w:val="21"/>
                    </w:rPr>
                    <w:t>常见的网络攻击，保障学校网络信息安全</w:t>
                  </w:r>
                  <w:r>
                    <w:rPr>
                      <w:rFonts w:ascii="仿宋_GB2312" w:hAnsi="仿宋_GB2312" w:cs="仿宋_GB2312" w:eastAsia="仿宋_GB2312"/>
                      <w:sz w:val="21"/>
                    </w:rPr>
                    <w:t>(需附防护方案与证明材料)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②提供网络安全设备，2U，吞吐量≥80G；发连接数≥2000W；</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服务要求</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7.服务保障</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①故障响应时间≤30分钟；</w:t>
                  </w:r>
                </w:p>
                <w:p>
                  <w:pPr>
                    <w:pStyle w:val="null3"/>
                    <w:jc w:val="both"/>
                  </w:pPr>
                  <w:r>
                    <w:rPr>
                      <w:rFonts w:ascii="仿宋_GB2312" w:hAnsi="仿宋_GB2312" w:cs="仿宋_GB2312" w:eastAsia="仿宋_GB2312"/>
                      <w:sz w:val="21"/>
                    </w:rPr>
                    <w:t>②故障解决时间≤3小时；</w:t>
                  </w:r>
                </w:p>
                <w:p>
                  <w:pPr>
                    <w:pStyle w:val="null3"/>
                    <w:jc w:val="both"/>
                  </w:pPr>
                  <w:r>
                    <w:rPr>
                      <w:rFonts w:ascii="仿宋_GB2312" w:hAnsi="仿宋_GB2312" w:cs="仿宋_GB2312" w:eastAsia="仿宋_GB2312"/>
                      <w:sz w:val="21"/>
                    </w:rPr>
                    <w:t>③合同生效后≤7日历日开通服务；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6"/>
                  <w:vMerge/>
                  <w:tcBorders>
                    <w:top w:val="none" w:color="000000" w:sz="4"/>
                    <w:left w:val="single" w:color="000000" w:sz="4"/>
                    <w:bottom w:val="single" w:color="000000" w:sz="4"/>
                    <w:right w:val="single" w:color="000000" w:sz="4"/>
                  </w:tcBorders>
                </w:tc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8.网络运维</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派遣至少一名专职的技术人员驻场提供为期</w:t>
                  </w:r>
                  <w:r>
                    <w:rPr>
                      <w:rFonts w:ascii="仿宋_GB2312" w:hAnsi="仿宋_GB2312" w:cs="仿宋_GB2312" w:eastAsia="仿宋_GB2312"/>
                      <w:sz w:val="21"/>
                    </w:rPr>
                    <w:t>1年的网络运维服务，且驻场期间不得随意更换，驻场人员的管理和考核由采购方负责，工资福利由投标方负责。</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注：</w:t>
            </w:r>
            <w:r>
              <w:rPr>
                <w:rFonts w:ascii="仿宋_GB2312" w:hAnsi="仿宋_GB2312" w:cs="仿宋_GB2312" w:eastAsia="仿宋_GB2312"/>
                <w:sz w:val="21"/>
              </w:rPr>
              <w:t>★</w:t>
            </w:r>
            <w:r>
              <w:rPr>
                <w:rFonts w:ascii="仿宋_GB2312" w:hAnsi="仿宋_GB2312" w:cs="仿宋_GB2312" w:eastAsia="仿宋_GB2312"/>
                <w:sz w:val="21"/>
              </w:rPr>
              <w:t>标</w:t>
            </w:r>
            <w:r>
              <w:rPr>
                <w:rFonts w:ascii="仿宋_GB2312" w:hAnsi="仿宋_GB2312" w:cs="仿宋_GB2312" w:eastAsia="仿宋_GB2312"/>
                <w:sz w:val="21"/>
              </w:rPr>
              <w:t>项</w:t>
            </w:r>
            <w:r>
              <w:rPr>
                <w:rFonts w:ascii="仿宋_GB2312" w:hAnsi="仿宋_GB2312" w:cs="仿宋_GB2312" w:eastAsia="仿宋_GB2312"/>
                <w:sz w:val="21"/>
              </w:rPr>
              <w:t>为必须满足要求。</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供应商可同时参与两个标段的投标，但一家供应商仅可中标其中一个标段，不可同时兼中两个标段。</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标的名称：标段二：备用链路带宽与运维服务采购项目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rPr>
              <w:t>投标方需落实《教育部等九部门关于加快推进教育数字化的意见》中关于</w:t>
            </w:r>
            <w:r>
              <w:rPr>
                <w:rFonts w:ascii="仿宋_GB2312" w:hAnsi="仿宋_GB2312" w:cs="仿宋_GB2312" w:eastAsia="仿宋_GB2312"/>
                <w:sz w:val="24"/>
              </w:rPr>
              <w:t>“基础电信企业对各级各类学校的网络使用资费给予优惠”的相关要求，并按照以下技术要求进行投标：</w:t>
            </w:r>
          </w:p>
          <w:tbl>
            <w:tblPr>
              <w:tblBorders>
                <w:top w:val="none" w:color="000000" w:sz="4"/>
                <w:left w:val="none" w:color="000000" w:sz="4"/>
                <w:bottom w:val="none" w:color="000000" w:sz="4"/>
                <w:right w:val="none" w:color="000000" w:sz="4"/>
                <w:insideH w:val="none"/>
                <w:insideV w:val="none"/>
              </w:tblBorders>
            </w:tblPr>
            <w:tblGrid>
              <w:gridCol w:w="386"/>
              <w:gridCol w:w="429"/>
              <w:gridCol w:w="1409"/>
              <w:gridCol w:w="323"/>
            </w:tblGrid>
            <w:tr>
              <w:tc>
                <w:tcPr>
                  <w:tcW w:type="dxa" w:w="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类别</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1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内容</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3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技术要求</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1.接入方式</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①★单一运营商单模光纤直连，独享带宽；</w:t>
                  </w:r>
                </w:p>
                <w:p>
                  <w:pPr>
                    <w:pStyle w:val="null3"/>
                    <w:jc w:val="both"/>
                  </w:pPr>
                  <w:r>
                    <w:rPr>
                      <w:rFonts w:ascii="仿宋_GB2312" w:hAnsi="仿宋_GB2312" w:cs="仿宋_GB2312" w:eastAsia="仿宋_GB2312"/>
                      <w:sz w:val="21"/>
                    </w:rPr>
                    <w:t>②不共享、不缓存、不转接;</w:t>
                  </w:r>
                </w:p>
                <w:p>
                  <w:pPr>
                    <w:pStyle w:val="null3"/>
                    <w:jc w:val="both"/>
                  </w:pPr>
                  <w:r>
                    <w:rPr>
                      <w:rFonts w:ascii="仿宋_GB2312" w:hAnsi="仿宋_GB2312" w:cs="仿宋_GB2312" w:eastAsia="仿宋_GB2312"/>
                      <w:sz w:val="21"/>
                    </w:rPr>
                    <w:t>③提供详细线路连接图；</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6"/>
                  <w:vMerge/>
                  <w:tcBorders>
                    <w:top w:val="none" w:color="000000" w:sz="4"/>
                    <w:left w:val="single" w:color="000000" w:sz="4"/>
                    <w:bottom w:val="single" w:color="000000" w:sz="4"/>
                    <w:right w:val="single" w:color="000000" w:sz="4"/>
                  </w:tcBorders>
                </w:tc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2.接入带宽</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①★≥3Gbps，上下行对等；</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6"/>
                  <w:vMerge/>
                  <w:tcBorders>
                    <w:top w:val="none" w:color="000000" w:sz="4"/>
                    <w:left w:val="single" w:color="000000" w:sz="4"/>
                    <w:bottom w:val="single" w:color="000000" w:sz="4"/>
                    <w:right w:val="single" w:color="000000" w:sz="4"/>
                  </w:tcBorders>
                </w:tc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3.线路质量</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①线路总衰减≤16db，时延≤10ms,链路丢包率≤1%；</w:t>
                  </w:r>
                </w:p>
                <w:p>
                  <w:pPr>
                    <w:pStyle w:val="null3"/>
                    <w:jc w:val="both"/>
                  </w:pPr>
                  <w:r>
                    <w:rPr>
                      <w:rFonts w:ascii="仿宋_GB2312" w:hAnsi="仿宋_GB2312" w:cs="仿宋_GB2312" w:eastAsia="仿宋_GB2312"/>
                      <w:sz w:val="21"/>
                    </w:rPr>
                    <w:t>②至省内骨干丢包≤0.1%，时延≤10 ms；</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6"/>
                  <w:vMerge/>
                  <w:tcBorders>
                    <w:top w:val="none" w:color="000000" w:sz="4"/>
                    <w:left w:val="single" w:color="000000" w:sz="4"/>
                    <w:bottom w:val="single" w:color="000000" w:sz="4"/>
                    <w:right w:val="single" w:color="000000" w:sz="4"/>
                  </w:tcBorders>
                </w:tc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4.网络资源</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①提供公网IPv4地址≥20个；</w:t>
                  </w:r>
                </w:p>
                <w:p>
                  <w:pPr>
                    <w:pStyle w:val="null3"/>
                    <w:jc w:val="both"/>
                  </w:pPr>
                  <w:r>
                    <w:rPr>
                      <w:rFonts w:ascii="仿宋_GB2312" w:hAnsi="仿宋_GB2312" w:cs="仿宋_GB2312" w:eastAsia="仿宋_GB2312"/>
                      <w:sz w:val="21"/>
                    </w:rPr>
                    <w:t>②提供1个/48前缀IPv6地址；</w:t>
                  </w:r>
                </w:p>
                <w:p>
                  <w:pPr>
                    <w:pStyle w:val="null3"/>
                    <w:jc w:val="both"/>
                  </w:pPr>
                  <w:r>
                    <w:rPr>
                      <w:rFonts w:ascii="仿宋_GB2312" w:hAnsi="仿宋_GB2312" w:cs="仿宋_GB2312" w:eastAsia="仿宋_GB2312"/>
                      <w:sz w:val="21"/>
                    </w:rPr>
                    <w:t>③支持</w:t>
                  </w:r>
                  <w:r>
                    <w:rPr>
                      <w:rFonts w:ascii="仿宋_GB2312" w:hAnsi="仿宋_GB2312" w:cs="仿宋_GB2312" w:eastAsia="仿宋_GB2312"/>
                      <w:sz w:val="21"/>
                    </w:rPr>
                    <w:t>已备案系统通过提供的地址进行信息网站发布</w:t>
                  </w:r>
                  <w:r>
                    <w:rPr>
                      <w:rFonts w:ascii="仿宋_GB2312" w:hAnsi="仿宋_GB2312" w:cs="仿宋_GB2312" w:eastAsia="仿宋_GB2312"/>
                      <w:sz w:val="21"/>
                    </w:rPr>
                    <w:t>；</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6"/>
                  <w:vMerge/>
                  <w:tcBorders>
                    <w:top w:val="none" w:color="000000" w:sz="4"/>
                    <w:left w:val="single" w:color="000000" w:sz="4"/>
                    <w:bottom w:val="single" w:color="000000" w:sz="4"/>
                    <w:right w:val="single" w:color="000000" w:sz="4"/>
                  </w:tcBorders>
                </w:tc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5、双域专网</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w:t>
                  </w:r>
                  <w:r>
                    <w:rPr>
                      <w:rFonts w:ascii="仿宋_GB2312" w:hAnsi="仿宋_GB2312" w:cs="仿宋_GB2312" w:eastAsia="仿宋_GB2312"/>
                      <w:sz w:val="21"/>
                    </w:rPr>
                    <w:t>5G双域专网服务，能够实现网络互通，拓展5G应用场景</w:t>
                  </w:r>
                  <w:r>
                    <w:rPr>
                      <w:rFonts w:ascii="仿宋_GB2312" w:hAnsi="仿宋_GB2312" w:cs="仿宋_GB2312" w:eastAsia="仿宋_GB2312"/>
                      <w:sz w:val="21"/>
                    </w:rPr>
                    <w:t>（需提供技术方案及相关证明材料）</w:t>
                  </w:r>
                  <w:r>
                    <w:rPr>
                      <w:rFonts w:ascii="仿宋_GB2312" w:hAnsi="仿宋_GB2312" w:cs="仿宋_GB2312" w:eastAsia="仿宋_GB2312"/>
                      <w:sz w:val="21"/>
                    </w:rPr>
                    <w:t>；</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6"/>
                  <w:vMerge/>
                  <w:tcBorders>
                    <w:top w:val="none" w:color="000000" w:sz="4"/>
                    <w:left w:val="single" w:color="000000" w:sz="4"/>
                    <w:bottom w:val="single" w:color="000000" w:sz="4"/>
                    <w:right w:val="single" w:color="000000" w:sz="4"/>
                  </w:tcBorders>
                </w:tc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6.安全防护</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①具备必要的网络安全防护措施，能够有效</w:t>
                  </w:r>
                  <w:r>
                    <w:rPr>
                      <w:rFonts w:ascii="仿宋_GB2312" w:hAnsi="仿宋_GB2312" w:cs="仿宋_GB2312" w:eastAsia="仿宋_GB2312"/>
                      <w:sz w:val="21"/>
                    </w:rPr>
                    <w:t>过滤</w:t>
                  </w:r>
                  <w:r>
                    <w:rPr>
                      <w:rFonts w:ascii="仿宋_GB2312" w:hAnsi="仿宋_GB2312" w:cs="仿宋_GB2312" w:eastAsia="仿宋_GB2312"/>
                      <w:sz w:val="21"/>
                    </w:rPr>
                    <w:t>常见的网络攻击，保障学校网络信息安全</w:t>
                  </w:r>
                  <w:r>
                    <w:rPr>
                      <w:rFonts w:ascii="仿宋_GB2312" w:hAnsi="仿宋_GB2312" w:cs="仿宋_GB2312" w:eastAsia="仿宋_GB2312"/>
                      <w:sz w:val="21"/>
                    </w:rPr>
                    <w:t>(需附防护方案与证明材料)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②提供VPN/零信任内网安全访问设备，2U；并发用户数≥300；IPSec VPN并发连接数≥10000，SSL VPN并发连接数≥5000；</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服务要求</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7.带宽服务</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①故障响应时间≤30分钟；</w:t>
                  </w:r>
                </w:p>
                <w:p>
                  <w:pPr>
                    <w:pStyle w:val="null3"/>
                    <w:jc w:val="both"/>
                  </w:pPr>
                  <w:r>
                    <w:rPr>
                      <w:rFonts w:ascii="仿宋_GB2312" w:hAnsi="仿宋_GB2312" w:cs="仿宋_GB2312" w:eastAsia="仿宋_GB2312"/>
                      <w:sz w:val="21"/>
                    </w:rPr>
                    <w:t>②故障解决时间≤3小时；</w:t>
                  </w:r>
                </w:p>
                <w:p>
                  <w:pPr>
                    <w:pStyle w:val="null3"/>
                    <w:jc w:val="both"/>
                  </w:pPr>
                  <w:r>
                    <w:rPr>
                      <w:rFonts w:ascii="仿宋_GB2312" w:hAnsi="仿宋_GB2312" w:cs="仿宋_GB2312" w:eastAsia="仿宋_GB2312"/>
                      <w:sz w:val="21"/>
                    </w:rPr>
                    <w:t>③合同生效后≤7日历日开通服务；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6"/>
                  <w:vMerge/>
                  <w:tcBorders>
                    <w:top w:val="none" w:color="000000" w:sz="4"/>
                    <w:left w:val="single" w:color="000000" w:sz="4"/>
                    <w:bottom w:val="single" w:color="000000" w:sz="4"/>
                    <w:right w:val="single" w:color="000000" w:sz="4"/>
                  </w:tcBorders>
                </w:tc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8.网络运维</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提供校园网光纤、接入及光网设备的网络运维服务，维修响应时间</w:t>
                  </w:r>
                  <w:r>
                    <w:rPr>
                      <w:rFonts w:ascii="仿宋_GB2312" w:hAnsi="仿宋_GB2312" w:cs="仿宋_GB2312" w:eastAsia="仿宋_GB2312"/>
                      <w:sz w:val="21"/>
                    </w:rPr>
                    <w:t>≤1小时,故障解决≤3小时。</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rPr>
              <w:t>注：</w:t>
            </w:r>
            <w:r>
              <w:rPr>
                <w:rFonts w:ascii="仿宋_GB2312" w:hAnsi="仿宋_GB2312" w:cs="仿宋_GB2312" w:eastAsia="仿宋_GB2312"/>
                <w:sz w:val="21"/>
              </w:rPr>
              <w:t>★</w:t>
            </w:r>
            <w:r>
              <w:rPr>
                <w:rFonts w:ascii="仿宋_GB2312" w:hAnsi="仿宋_GB2312" w:cs="仿宋_GB2312" w:eastAsia="仿宋_GB2312"/>
                <w:sz w:val="21"/>
              </w:rPr>
              <w:t>标</w:t>
            </w:r>
            <w:r>
              <w:rPr>
                <w:rFonts w:ascii="仿宋_GB2312" w:hAnsi="仿宋_GB2312" w:cs="仿宋_GB2312" w:eastAsia="仿宋_GB2312"/>
                <w:sz w:val="21"/>
              </w:rPr>
              <w:t>项</w:t>
            </w:r>
            <w:r>
              <w:rPr>
                <w:rFonts w:ascii="仿宋_GB2312" w:hAnsi="仿宋_GB2312" w:cs="仿宋_GB2312" w:eastAsia="仿宋_GB2312"/>
                <w:sz w:val="21"/>
              </w:rPr>
              <w:t>为必须满足要求。</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供应商可同时参与两个标段的投标，但一家供应商仅可中标其中一个标段，不可同时兼中两个标段。</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按采购要求提供专人驻场。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以招标文件、投标文件、合同文本、国家及行业相关法律法规、标准、规范等为依据。现场验收。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以招标文件、投标文件、合同文本、国家及行业相关法律法规、标准、规范等为依据。现场验收。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验收合格后中标人开具合同对应的等额发票交采购人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验收合格后中标人开具合同对应的等额发票交采购人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双方协商解决，协商不成的向甲方所在地人民法院诉讼解决。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双方协商解决，协商不成的向甲方所在地人民法院诉讼解决。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供应商独立经营主体证明</w:t>
            </w:r>
          </w:p>
        </w:tc>
        <w:tc>
          <w:tcPr>
            <w:tcW w:type="dxa" w:w="3322"/>
          </w:tcPr>
          <w:p>
            <w:pPr>
              <w:pStyle w:val="null3"/>
            </w:pPr>
            <w:r>
              <w:rPr>
                <w:rFonts w:ascii="仿宋_GB2312" w:hAnsi="仿宋_GB2312" w:cs="仿宋_GB2312" w:eastAsia="仿宋_GB2312"/>
              </w:rPr>
              <w:t>供应商应为具有独立承担民事责任能力的法人或其他组织，提供法人或者其他组织的营业执照等证明文件(分公司投标须附总公司授权)；自然人参与项目的，需提供自然人的身份证明。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提供经审计的2023年度或2024年度的财务报告或提交响应文件截止时间前六个月内其基本账户开户银行出具的资信证明（须同时提供基本账户信息）；其他组织和自然人提供银行出具的资信证明或财务报表。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提供2024年9月至今任意一个月的纳税证明或税务机关开具的完税证明，依法免税的单位应提供相关证明材料。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提供2024年9月至今任意一个月已缴存的社会保障资金缴存单据或社保机构开具的社会保险参保缴费证明，依法不需要缴纳社会保障资金的单位应提供相关证明材料。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履约能力书面声明</w:t>
            </w:r>
          </w:p>
        </w:tc>
        <w:tc>
          <w:tcPr>
            <w:tcW w:type="dxa" w:w="3322"/>
          </w:tcPr>
          <w:p>
            <w:pPr>
              <w:pStyle w:val="null3"/>
            </w:pPr>
            <w:r>
              <w:rPr>
                <w:rFonts w:ascii="仿宋_GB2312" w:hAnsi="仿宋_GB2312" w:cs="仿宋_GB2312" w:eastAsia="仿宋_GB2312"/>
              </w:rPr>
              <w:t>具有履行合同所必需的设备和专业技术能力，提供书面声明。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参加采购活动前三年内在经营活动中无重大违法记录，提供书面声明。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不得为“信用中国”网站（www.creditchina.gov.cn）被列入“失信被执行人”“重大税收违法案件当事人名单”的供应商，不得为“中国政府采购网”(www.ccgp.gov.cn)被列入“政府采购严重违法失信行为记录名单”的供应商，提供查询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关联关系书面声明</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项下的政府采购；为采购人提供整体设计、规范编制或者项目管理、监理、检测等服务的供应商，不得参加本项目的采购活动，提供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提供企业法人授权委托书和被授权人有效身份证件（法定代表人直接参加时，只须提供法定代表人身份证明）。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本项目不接受联合体投标，提供非联合体投标书面声明。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具有《基础电信业务经营许可证》或具有投标方非基础电信资质持证主体，但持有基础运营商（指中国移动/中国联通/中国电信/中国广电）出具的有效授权书（明确授权范围、期限及排他性）。</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供应商独立经营主体证明</w:t>
            </w:r>
          </w:p>
        </w:tc>
        <w:tc>
          <w:tcPr>
            <w:tcW w:type="dxa" w:w="3322"/>
          </w:tcPr>
          <w:p>
            <w:pPr>
              <w:pStyle w:val="null3"/>
            </w:pPr>
            <w:r>
              <w:rPr>
                <w:rFonts w:ascii="仿宋_GB2312" w:hAnsi="仿宋_GB2312" w:cs="仿宋_GB2312" w:eastAsia="仿宋_GB2312"/>
              </w:rPr>
              <w:t>供应商应为具有独立承担民事责任能力的法人或其他组织，提供法人或者其他组织的营业执照等证明文件(分公司投标须附总公司授权)；自然人参与项目的，需提供自然人的身份证明。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提供经审计的2023年度或2024年度的财务报告或提交响应文件截止时间前六个月内其基本账户开户银行出具的资信证明（须同时提供基本账户信息）；其他组织和自然人提供银行出具的资信证明或财务报表。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提供2024年9月至今任意一个月的纳税证明或税务机关开具的完税证明，依法免税的单位应提供相关证明材料。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提供2024年9月至今任意一个月已缴存的社会保障资金缴存单据或社保机构开具的社会保险参保缴费证明，依法不需要缴纳社会保障资金的单位应提供相关证明材料。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履约能力书面声明</w:t>
            </w:r>
          </w:p>
        </w:tc>
        <w:tc>
          <w:tcPr>
            <w:tcW w:type="dxa" w:w="3322"/>
          </w:tcPr>
          <w:p>
            <w:pPr>
              <w:pStyle w:val="null3"/>
            </w:pPr>
            <w:r>
              <w:rPr>
                <w:rFonts w:ascii="仿宋_GB2312" w:hAnsi="仿宋_GB2312" w:cs="仿宋_GB2312" w:eastAsia="仿宋_GB2312"/>
              </w:rPr>
              <w:t>具有履行合同所必需的设备和专业技术能力，提供书面声明。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参加采购活动前三年内在经营活动中无重大违法记录，提供书面声明。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不得为“信用中国”网站（www.creditchina.gov.cn）被列入“失信被执行人”“重大税收违法案件当事人名单”的供应商，不得为“中国政府采购网”(www.ccgp.gov.cn)被列入“政府采购严重违法失信行为记录名单”的供应商，提供查询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关联关系书面声明</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项下的政府采购；为采购人提供整体设计、规范编制或者项目管理、监理、检测等服务的供应商，不得参加本项目的采购活动，提供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提供企业法人授权委托书和被授权人有效身份证件（法定代表人直接参加时，只须提供法定代表人身份证明）。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本项目不接受联合体投标，提供非联合体投标书面声明。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具有《基础电信业务经营许可证》或具有投标方非基础电信资质持证主体，但持有基础运营商（指中国移动/中国联通/中国电信/中国广电）出具的有效授权书（明确授权范围、期限及排他性）。</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投标人名称与营业执照、资质证书等是否一致，项目信息是否一致</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投标人是否按照招标文件规定要求签字、盖章</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投标人认为有必要说明的其他问题.docx 资格证明文件.docx 技术方案1.docx 技术方案2.docx 增值服务.docx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语言、计量单位及构成</w:t>
            </w:r>
          </w:p>
        </w:tc>
        <w:tc>
          <w:tcPr>
            <w:tcW w:type="dxa" w:w="3322"/>
          </w:tcPr>
          <w:p>
            <w:pPr>
              <w:pStyle w:val="null3"/>
            </w:pPr>
            <w:r>
              <w:rPr>
                <w:rFonts w:ascii="仿宋_GB2312" w:hAnsi="仿宋_GB2312" w:cs="仿宋_GB2312" w:eastAsia="仿宋_GB2312"/>
              </w:rPr>
              <w:t>投标文件的语言、计量单位及构成是否符合招标文件的要求</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投标人认为有必要说明的其他问题.docx 资格证明文件.docx 技术方案1.docx 技术方案2.docx 增值服务.docx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投标有效期是否符合招标文件的规定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投标报价是否满足满足以下条款： （1）货币单位符合招标文件要求 （2）报价符合唯一性要求 （3）未超出包采购预算及最高限价 （4）符合《开标一览表》的填写要求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商务合同条款响应</w:t>
            </w:r>
          </w:p>
        </w:tc>
        <w:tc>
          <w:tcPr>
            <w:tcW w:type="dxa" w:w="3322"/>
          </w:tcPr>
          <w:p>
            <w:pPr>
              <w:pStyle w:val="null3"/>
            </w:pPr>
            <w:r>
              <w:rPr>
                <w:rFonts w:ascii="仿宋_GB2312" w:hAnsi="仿宋_GB2312" w:cs="仿宋_GB2312" w:eastAsia="仿宋_GB2312"/>
              </w:rPr>
              <w:t>完全理解并响应招标文件商务要求及合同条款的要求，且未含有招标人不能接受的附加条件的。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服务内容及要求响应</w:t>
            </w:r>
          </w:p>
        </w:tc>
        <w:tc>
          <w:tcPr>
            <w:tcW w:type="dxa" w:w="3322"/>
          </w:tcPr>
          <w:p>
            <w:pPr>
              <w:pStyle w:val="null3"/>
            </w:pPr>
            <w:r>
              <w:rPr>
                <w:rFonts w:ascii="仿宋_GB2312" w:hAnsi="仿宋_GB2312" w:cs="仿宋_GB2312" w:eastAsia="仿宋_GB2312"/>
              </w:rPr>
              <w:t>完全响应招标文件要求的各项技术（服务）实质性条款。</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完全理解并接受法律法规和招标文件对投标人合法经营的各类规约和责任义务要求，没有出现法律法规或招标文件规定的其他无效情形。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投标人名称与营业执照、资质证书等是否一致，项目信息是否一致</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投标人是否按照招标文件规定要求签字、盖章</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投标人认为有必要说明的其他问题.docx 资格证明文件.docx 技术方案1.docx 技术方案2.docx 增值服务.docx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语言、计量单位及构成</w:t>
            </w:r>
          </w:p>
        </w:tc>
        <w:tc>
          <w:tcPr>
            <w:tcW w:type="dxa" w:w="3322"/>
          </w:tcPr>
          <w:p>
            <w:pPr>
              <w:pStyle w:val="null3"/>
            </w:pPr>
            <w:r>
              <w:rPr>
                <w:rFonts w:ascii="仿宋_GB2312" w:hAnsi="仿宋_GB2312" w:cs="仿宋_GB2312" w:eastAsia="仿宋_GB2312"/>
              </w:rPr>
              <w:t>投标文件的语言、计量单位及构成是否符合招标文件的要求</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投标人认为有必要说明的其他问题.docx 资格证明文件.docx 技术方案1.docx 技术方案2.docx 增值服务.docx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投标有效期是否符合招标文件的规定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投标报价是否满足满足以下条款： （1）货币单位符合招标文件要求 （2）报价符合唯一性要求 （3）未超出包采购预算及最高限价 （4）符合《开标一览表》的填写要求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商务及合同条款</w:t>
            </w:r>
          </w:p>
        </w:tc>
        <w:tc>
          <w:tcPr>
            <w:tcW w:type="dxa" w:w="3322"/>
          </w:tcPr>
          <w:p>
            <w:pPr>
              <w:pStyle w:val="null3"/>
            </w:pPr>
            <w:r>
              <w:rPr>
                <w:rFonts w:ascii="仿宋_GB2312" w:hAnsi="仿宋_GB2312" w:cs="仿宋_GB2312" w:eastAsia="仿宋_GB2312"/>
              </w:rPr>
              <w:t>完全理解并响应招标文件商务要求及合同条款的要求，且未含有招标人不能接受的附加条件的。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服务内容及要求响应</w:t>
            </w:r>
          </w:p>
        </w:tc>
        <w:tc>
          <w:tcPr>
            <w:tcW w:type="dxa" w:w="3322"/>
          </w:tcPr>
          <w:p>
            <w:pPr>
              <w:pStyle w:val="null3"/>
            </w:pPr>
            <w:r>
              <w:rPr>
                <w:rFonts w:ascii="仿宋_GB2312" w:hAnsi="仿宋_GB2312" w:cs="仿宋_GB2312" w:eastAsia="仿宋_GB2312"/>
              </w:rPr>
              <w:t>完全响应招标文件要求的各项技术（服务）实质性条款。</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完全理解并接受法律法规和招标文件对投标人合法经营的各类规约和责任义务要求，没有出现法律法规或招标文件规定的其他无效情形。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经初审合格的投标文件，其投标报价为有效投标价。 价格分统一采用低价优先法计算，即满足招标文件要求且投标价格最低的投标报价为评标基准价，其价格分为满分。其他供应商的价格分统一按照下列公式计算： 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针对本项目提供详细的技术方案，内容包含但不限于：（1）接入方式；（2）接入带宽；（3）线路质量；（4）网络资源；（5）双域专网；（6）安全防护等方面，并能按照采购要求提供证明材料。 注：★标项参数必须满足要求；其余参数全部满足得35分，每负偏离一项扣3.5分，扣完为止。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技术方案1.docx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提供的带宽服务超出采购要求的，每增加1Gbps加1分，上限为5分。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技术方案2.docx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针对本项目提供服务方案，要求方案科学合理、可操作性强，能够保证服务质量和服务效果，内容包含但不限于带宽保障服务方案、网络运维实施方案和服务承诺等。其中： 1、带宽保障服务方案（满分6分）：按照服务要求提供服务响应时间及保障措施，每完整提供一项，得2分。 2、网络运维实施方案（满分7分）：满足运维服务要求，确保网络运行平稳。包含①驻场人员安排情况，承诺入场时驻场人员具备大专及以上学历；须持有网络或信息化领域有效职业资格证书（如网络工程师、信息系统运维工程师、计算机技术与软件专业技术资格等）；须通过采购方组织的岗位能力专项考核，考核不合格者需更换人员，得3分；未提供承诺不得分。②明确设备质保范围，覆盖核心交换机等网络核心设备，需同时提供服务承诺函和制造商授权书，每提供一项得2分，满分4分。 3、服务承诺（满分7分）：包括①承诺按照甲方要求安排驻场工作时间，满足得1分；②承诺提供每年不少于2次的无线网络优化服务，优化内容含“覆盖盲区检测、速率适配等”，满足得2分；③承诺驻场期间未经采购方同意不得随意更换驻场人员，满足得1分。④承诺核心设备故障3小时内上门，4小时内完成更换/修复（附设备厂商备件库证明），满足得3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针对本项目提供特色增值服务： ①免费提供校园5G服务信号测评服务； ②免费提供5G双域专网服务； ③免费提供网络安全漏洞扫描3次； ④免费提供无线网质量检测服务1次； ⑤免费提供云存储空间。 每承诺满足一项得1分，共5分。 未承诺不得分。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提供近3年来≥1Gbps的带宽服务项目类似业绩(须提供完整合同并加盖投标人公章)，每份合格业绩合同计1分，满分5分。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经初审合格的投标文件，其投标报价为有效投标价。 价格分统一采用低价优先法计算，即满足招标文件要求且投标价格最低的投标报价为评标基准价，其价格分为满分。其他供应商的价格分统一按照下列公式计算： 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针对本项目提供详细的技术方案，内容包含但不限于：（1）接入方式；（2）接入带宽；（3）线路质量；（4）网络资源；（5）双域专网；（6）安全防护等方面，并能按照采购要求提供证明材料。 注：★标项参数必须满足要求；其余参数全部满足得35分，每负偏离一项扣3.5分，扣完为止。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技术方案1.docx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提供的带宽服务超出采购要求的，每增加1Gbps加1分，上限为5分。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技术方案2.docx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针对本项目提供服务方案，要求方案科学合理、可操作性强，能够保证服务质量和服务效果，内容包含但不限于带宽保障服务方案、网络运维实施方案和服务承诺等。其中： 1、带宽保障服务方案（满分6分）：按照服务要求提供服务响应时间及保障措施，每完整提供一项，得2分。 2、网络运维实施方案（满分9分）：满足运维服务要求，确保网络运行平稳。包含①按照校园网光纤、接入及光网设备运维服务要求提供服务响应时间及保障措施，每完整提供一项得2.5分，满分5分；②提供运维设备原厂授权维修资质或授权，每提供一项得2分，满分4分。 3、服务承诺（满分5分）：包括①承诺提供每年不少于2次的网络优化服务，满足得2分；②承诺核心设备故障3小时内上门，4小时内完成更换/修复（附设备厂商备件库证明），满足得3分。未提供不得分。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针对本项目提供特色增值服务： ①免费提供校园5G服务信号测评服务； ②免费提供5G双域专网服务； ③免费提供网络安全漏洞扫描3次； ④免费提供无线网质量检测服务1次； ⑤免费提供云存储空间。 每提供一项得1分，共5分。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提供近3年来≥1Gbps的带宽服务项目类似业绩(须提供完整合同并加盖投标人公章)，每份合格业绩合同计1分，满分5分。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详见附件：技术方案1.docx</w:t>
      </w:r>
    </w:p>
    <w:p>
      <w:pPr>
        <w:pStyle w:val="null3"/>
        <w:ind w:firstLine="960"/>
      </w:pPr>
      <w:r>
        <w:rPr>
          <w:rFonts w:ascii="仿宋_GB2312" w:hAnsi="仿宋_GB2312" w:cs="仿宋_GB2312" w:eastAsia="仿宋_GB2312"/>
        </w:rPr>
        <w:t>详见附件：技术方案2.docx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详见附件：投标人认为有必要说明的其他问题.docx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详见附件：技术方案1.docx</w:t>
      </w:r>
    </w:p>
    <w:p>
      <w:pPr>
        <w:pStyle w:val="null3"/>
        <w:ind w:firstLine="960"/>
      </w:pPr>
      <w:r>
        <w:rPr>
          <w:rFonts w:ascii="仿宋_GB2312" w:hAnsi="仿宋_GB2312" w:cs="仿宋_GB2312" w:eastAsia="仿宋_GB2312"/>
        </w:rPr>
        <w:t>详见附件：技术方案2.docx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详见附件：投标人认为有必要说明的其他问题.docx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