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版本号：YAZBTC2025-03420250929001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铜川新区城镇开发边界外单元划定及详细规划项目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YAZBTC2025-034</w:t>
      </w:r>
      <w:r>
        <w:br/>
      </w:r>
      <w:r>
        <w:br/>
      </w:r>
      <w:r>
        <w:br/>
      </w:r>
    </w:p>
    <w:p>
      <w:pPr>
        <w:pStyle w:val="null3"/>
        <w:jc w:val="center"/>
        <w:outlineLvl w:val="2"/>
      </w:pPr>
      <w:r>
        <w:rPr>
          <w:rFonts w:ascii="仿宋_GB2312" w:hAnsi="仿宋_GB2312" w:cs="仿宋_GB2312" w:eastAsia="仿宋_GB2312"/>
          <w:sz w:val="28"/>
          <w:b/>
        </w:rPr>
        <w:t>铜川市自然资源局新区分局</w:t>
      </w:r>
    </w:p>
    <w:p>
      <w:pPr>
        <w:pStyle w:val="null3"/>
        <w:jc w:val="center"/>
        <w:outlineLvl w:val="2"/>
      </w:pPr>
      <w:r>
        <w:rPr>
          <w:rFonts w:ascii="仿宋_GB2312" w:hAnsi="仿宋_GB2312" w:cs="仿宋_GB2312" w:eastAsia="仿宋_GB2312"/>
          <w:sz w:val="28"/>
          <w:b/>
        </w:rPr>
        <w:t>镱安项目管理有限公司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镱安项目管理有限公司</w:t>
      </w:r>
      <w:r>
        <w:rPr>
          <w:rFonts w:ascii="仿宋_GB2312" w:hAnsi="仿宋_GB2312" w:cs="仿宋_GB2312" w:eastAsia="仿宋_GB2312"/>
        </w:rPr>
        <w:t>（以下简称“代理机构”）受</w:t>
      </w:r>
      <w:r>
        <w:rPr>
          <w:rFonts w:ascii="仿宋_GB2312" w:hAnsi="仿宋_GB2312" w:cs="仿宋_GB2312" w:eastAsia="仿宋_GB2312"/>
        </w:rPr>
        <w:t>铜川市自然资源局新区分局</w:t>
      </w:r>
      <w:r>
        <w:rPr>
          <w:rFonts w:ascii="仿宋_GB2312" w:hAnsi="仿宋_GB2312" w:cs="仿宋_GB2312" w:eastAsia="仿宋_GB2312"/>
        </w:rPr>
        <w:t>委托，拟对</w:t>
      </w:r>
      <w:r>
        <w:rPr>
          <w:rFonts w:ascii="仿宋_GB2312" w:hAnsi="仿宋_GB2312" w:cs="仿宋_GB2312" w:eastAsia="仿宋_GB2312"/>
        </w:rPr>
        <w:t>铜川新区城镇开发边界外单元划定及详细规划项目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YAZBTC2025-034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铜川新区城镇开发边界外单元划定及详细规划项目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根据陕西省相关标准及政策要求，编制铜川新区城镇开发边界外单元划定及详细规划。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采购包1（铜川新区城镇开发边界外单元划定及详细规划项目）：属于专门面向中小企业采购。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 主体资格证 明文件：具有独立承担民事责任能力的法人、其他组织，并出具合法有效的营业执照或事业单位法人证书等国 家规定的相关证明；</w:t>
      </w:r>
    </w:p>
    <w:p>
      <w:pPr>
        <w:pStyle w:val="null3"/>
      </w:pPr>
      <w:r>
        <w:rPr>
          <w:rFonts w:ascii="仿宋_GB2312" w:hAnsi="仿宋_GB2312" w:cs="仿宋_GB2312" w:eastAsia="仿宋_GB2312"/>
        </w:rPr>
        <w:t>2、具有健全的 财务会计制度：提供具有财务审计资质单位出具的2024年度财务报告或递交磋商响应文件前六个月内其基本账户银行出具的资信证明或政府采购信用 担保机构出具的投标担保函；</w:t>
      </w:r>
    </w:p>
    <w:p>
      <w:pPr>
        <w:pStyle w:val="null3"/>
      </w:pPr>
      <w:r>
        <w:rPr>
          <w:rFonts w:ascii="仿宋_GB2312" w:hAnsi="仿宋_GB2312" w:cs="仿宋_GB2312" w:eastAsia="仿宋_GB2312"/>
        </w:rPr>
        <w:t>3、依法缴纳税 收和社会保 障资金证明：依法缴纳税收和社会保障资金提供2025年任意1个月缴纳证明（无需缴纳提供相应证明文件）；</w:t>
      </w:r>
    </w:p>
    <w:p>
      <w:pPr>
        <w:pStyle w:val="null3"/>
      </w:pPr>
      <w:r>
        <w:rPr>
          <w:rFonts w:ascii="仿宋_GB2312" w:hAnsi="仿宋_GB2312" w:cs="仿宋_GB2312" w:eastAsia="仿宋_GB2312"/>
        </w:rPr>
        <w:t>4、法定代表人 证明书或法 定代表人授 权书：法定代表人参加磋商的，须提供法人身份证明书，法定代表人授权他人参加磋商的，须提供法定代表 人授权委托书（附法定代表人、 被授权人身份证复印件及授权人近半年内一个月社保缴纳证明）</w:t>
      </w:r>
    </w:p>
    <w:p>
      <w:pPr>
        <w:pStyle w:val="null3"/>
      </w:pPr>
      <w:r>
        <w:rPr>
          <w:rFonts w:ascii="仿宋_GB2312" w:hAnsi="仿宋_GB2312" w:cs="仿宋_GB2312" w:eastAsia="仿宋_GB2312"/>
        </w:rPr>
        <w:t>5、具有良好的 商业信誉：供应商不得为“信用中国(www.creditchina.gov.cn)”中列入重大税收违法失信主体、严重失信主体 名单；不得在“中国执行信息公开网 (http://zxgk.court.gov.cn)”被列为失信被执行人；不得为“中国政府采购网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6、说明及承诺：提供具有履行本合同所必需的设备和专业技术能力的说明及承诺；</w:t>
      </w:r>
    </w:p>
    <w:p>
      <w:pPr>
        <w:pStyle w:val="null3"/>
      </w:pPr>
      <w:r>
        <w:rPr>
          <w:rFonts w:ascii="仿宋_GB2312" w:hAnsi="仿宋_GB2312" w:cs="仿宋_GB2312" w:eastAsia="仿宋_GB2312"/>
        </w:rPr>
        <w:t>7、书面声明：提供参加政府采购活动近三年内在经营活动中没有重大违法记录的书面声明；</w:t>
      </w:r>
    </w:p>
    <w:p>
      <w:pPr>
        <w:pStyle w:val="null3"/>
      </w:pPr>
      <w:r>
        <w:rPr>
          <w:rFonts w:ascii="仿宋_GB2312" w:hAnsi="仿宋_GB2312" w:cs="仿宋_GB2312" w:eastAsia="仿宋_GB2312"/>
        </w:rPr>
        <w:t>8、资质：具有城乡规划编制乙级及以上资质；</w:t>
      </w:r>
    </w:p>
    <w:p>
      <w:pPr>
        <w:pStyle w:val="null3"/>
      </w:pPr>
      <w:r>
        <w:rPr>
          <w:rFonts w:ascii="仿宋_GB2312" w:hAnsi="仿宋_GB2312" w:cs="仿宋_GB2312" w:eastAsia="仿宋_GB2312"/>
        </w:rPr>
        <w:t>9、拟派项目负责人：拟派项目负责人须具备注册城乡规划师专业资格证书及规划相关专业高级职称。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铜川市自然资源局新区分局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铜川市新区长虹北路9号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铜川市自然资源局新区分局经办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18220490162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镱安项目管理有限公司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陕西省西安市新城区陕西省西安市新城区石家街127号东岸国际17层1702室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15209199909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 采 行办 法》的通知（计价格〔 行 2002 〕1980 号）、《国家发展和 号 改革委员会办公厅关于招标代 理服务收费有关问题的通知》（发 改 改办价格〔 改 2003 〕857 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铜川市自然资源局新区分局</w:t>
      </w:r>
      <w:r>
        <w:rPr>
          <w:rFonts w:ascii="仿宋_GB2312" w:hAnsi="仿宋_GB2312" w:cs="仿宋_GB2312" w:eastAsia="仿宋_GB2312"/>
        </w:rPr>
        <w:t>和</w:t>
      </w:r>
      <w:r>
        <w:rPr>
          <w:rFonts w:ascii="仿宋_GB2312" w:hAnsi="仿宋_GB2312" w:cs="仿宋_GB2312" w:eastAsia="仿宋_GB2312"/>
        </w:rPr>
        <w:t>镱安项目管理有限公司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铜川市自然资源局新区分局</w:t>
      </w:r>
      <w:r>
        <w:rPr>
          <w:rFonts w:ascii="仿宋_GB2312" w:hAnsi="仿宋_GB2312" w:cs="仿宋_GB2312" w:eastAsia="仿宋_GB2312"/>
        </w:rPr>
        <w:t>负责解释。除上述磋商文件内容，其他内容由</w:t>
      </w:r>
      <w:r>
        <w:rPr>
          <w:rFonts w:ascii="仿宋_GB2312" w:hAnsi="仿宋_GB2312" w:cs="仿宋_GB2312" w:eastAsia="仿宋_GB2312"/>
        </w:rPr>
        <w:t>镱安项目管理有限公司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铜川市自然资源局新区分局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镱安项目管理有限公司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联系人：王涛</w:t>
      </w:r>
    </w:p>
    <w:p>
      <w:pPr>
        <w:pStyle w:val="null3"/>
      </w:pPr>
      <w:r>
        <w:rPr>
          <w:rFonts w:ascii="仿宋_GB2312" w:hAnsi="仿宋_GB2312" w:cs="仿宋_GB2312" w:eastAsia="仿宋_GB2312"/>
        </w:rPr>
        <w:t>联系电话：15209199909</w:t>
      </w:r>
    </w:p>
    <w:p>
      <w:pPr>
        <w:pStyle w:val="null3"/>
      </w:pPr>
      <w:r>
        <w:rPr>
          <w:rFonts w:ascii="仿宋_GB2312" w:hAnsi="仿宋_GB2312" w:cs="仿宋_GB2312" w:eastAsia="仿宋_GB2312"/>
        </w:rPr>
        <w:t>地址： 陕西省西安市新城区陕西省西安市新城区石家街127号东岸国际17层1702室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根据陕西省相关标准及政策要求，编制铜川新区城镇开发边界外单元划定及详细规划。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690,000.00</w:t>
      </w:r>
    </w:p>
    <w:p>
      <w:pPr>
        <w:pStyle w:val="null3"/>
      </w:pPr>
      <w:r>
        <w:rPr>
          <w:rFonts w:ascii="仿宋_GB2312" w:hAnsi="仿宋_GB2312" w:cs="仿宋_GB2312" w:eastAsia="仿宋_GB2312"/>
        </w:rPr>
        <w:t>采购包最高限价（元）: 690,000.00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铜川新区城镇开发边界外单元划定及详细规划项目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标的名称：铜川新区城镇开发边界外单元划定及详细规划项目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color w:val="000000"/>
              </w:rPr>
              <w:t>铜川新区城镇开发边界外单元划定及详细规划项目</w:t>
            </w:r>
          </w:p>
          <w:p>
            <w:pPr>
              <w:pStyle w:val="null3"/>
              <w:jc w:val="center"/>
            </w:pPr>
            <w:r>
              <w:rPr>
                <w:rFonts w:ascii="仿宋_GB2312" w:hAnsi="仿宋_GB2312" w:cs="仿宋_GB2312" w:eastAsia="仿宋_GB2312"/>
                <w:sz w:val="36"/>
                <w:color w:val="000000"/>
              </w:rPr>
              <w:t>采购内容</w:t>
            </w:r>
          </w:p>
          <w:p>
            <w:pPr>
              <w:pStyle w:val="null3"/>
              <w:jc w:val="center"/>
            </w:pPr>
            <w:r>
              <w:rPr>
                <w:rFonts w:ascii="仿宋_GB2312" w:hAnsi="仿宋_GB2312" w:cs="仿宋_GB2312" w:eastAsia="仿宋_GB2312"/>
                <w:sz w:val="24"/>
              </w:rPr>
              <w:t>一、项目背景</w:t>
            </w:r>
          </w:p>
          <w:p>
            <w:pPr>
              <w:pStyle w:val="null3"/>
              <w:ind w:firstLine="480"/>
              <w:jc w:val="both"/>
            </w:pPr>
            <w:r>
              <w:rPr>
                <w:rFonts w:ascii="仿宋_GB2312" w:hAnsi="仿宋_GB2312" w:cs="仿宋_GB2312" w:eastAsia="仿宋_GB2312"/>
                <w:sz w:val="24"/>
              </w:rPr>
              <w:t>城镇开发边界外单元层面详细规划是落实上位国土空间规划的重要一环，是实施层面详细规划（村庄规划）的基础，是实现乡村地区规划管理全覆盖的重要抓手，也可作为暂不编制村庄规划的乡村地区开展国土空间开发保护活动、实施国土空间用途管制、核发乡村建设项目规划许可、进行各项建设的法定依据。</w:t>
            </w:r>
          </w:p>
          <w:p>
            <w:pPr>
              <w:pStyle w:val="null3"/>
              <w:ind w:firstLine="480"/>
              <w:jc w:val="both"/>
            </w:pPr>
            <w:r>
              <w:rPr>
                <w:rFonts w:ascii="仿宋_GB2312" w:hAnsi="仿宋_GB2312" w:cs="仿宋_GB2312" w:eastAsia="仿宋_GB2312"/>
                <w:sz w:val="24"/>
              </w:rPr>
              <w:t>根据省自然资源厅《陕西省自然资源厅关于加快推进国土空间详细规划工作的通知》以及《陕西省自然资源厅关于做好国土空间规划有关工作的补充通知》的工作要求，为做到新区规划全域全覆盖、实现</w:t>
            </w:r>
            <w:r>
              <w:rPr>
                <w:rFonts w:ascii="仿宋_GB2312" w:hAnsi="仿宋_GB2312" w:cs="仿宋_GB2312" w:eastAsia="仿宋_GB2312"/>
                <w:sz w:val="24"/>
              </w:rPr>
              <w:t>“一张图”管控的要求，现需开展新区城镇开发边界外单元划定及单元详细规划编制工作。</w:t>
            </w:r>
          </w:p>
          <w:p>
            <w:pPr>
              <w:pStyle w:val="null3"/>
              <w:ind w:firstLine="480"/>
              <w:jc w:val="both"/>
            </w:pPr>
            <w:r>
              <w:rPr>
                <w:rFonts w:ascii="仿宋_GB2312" w:hAnsi="仿宋_GB2312" w:cs="仿宋_GB2312" w:eastAsia="仿宋_GB2312"/>
                <w:sz w:val="24"/>
              </w:rPr>
              <w:t>二、主要目标</w:t>
            </w:r>
          </w:p>
          <w:p>
            <w:pPr>
              <w:pStyle w:val="null3"/>
              <w:ind w:firstLine="480"/>
              <w:jc w:val="both"/>
            </w:pPr>
            <w:r>
              <w:rPr>
                <w:rFonts w:ascii="仿宋_GB2312" w:hAnsi="仿宋_GB2312" w:cs="仿宋_GB2312" w:eastAsia="仿宋_GB2312"/>
                <w:sz w:val="24"/>
                <w:color w:val="000000"/>
              </w:rPr>
              <w:t>结合相关规划要求，依据《陕西省详细规划编制单元划定指南》（试行）及《陕西省城镇开发边界外单元层面详细规划编制指南》（试行），深入落实乡村振兴战略，坚持单元统筹发展，科学布局生产空间、生活空间、生态空间，优化国土空间结构，推进单元内的资源整合，强化资源共创共享，打造宜人、宜居、宜业的乡村空间，高质量编制新区城镇开发边界外单元划定及单元详细规划。</w:t>
            </w:r>
          </w:p>
          <w:p>
            <w:pPr>
              <w:pStyle w:val="null3"/>
              <w:ind w:firstLine="480"/>
              <w:jc w:val="both"/>
            </w:pPr>
            <w:r>
              <w:rPr>
                <w:rFonts w:ascii="仿宋_GB2312" w:hAnsi="仿宋_GB2312" w:cs="仿宋_GB2312" w:eastAsia="仿宋_GB2312"/>
                <w:sz w:val="24"/>
              </w:rPr>
              <w:t>三、项目服务内容</w:t>
            </w:r>
          </w:p>
          <w:p>
            <w:pPr>
              <w:pStyle w:val="null3"/>
              <w:ind w:firstLine="480"/>
              <w:jc w:val="both"/>
            </w:pPr>
            <w:r>
              <w:rPr>
                <w:rFonts w:ascii="仿宋_GB2312" w:hAnsi="仿宋_GB2312" w:cs="仿宋_GB2312" w:eastAsia="仿宋_GB2312"/>
                <w:sz w:val="24"/>
              </w:rPr>
              <w:t>本次规划需根据《陕西省城镇开发边界外单元层面详细规划编制指南》（试行）文件进行编制，主要内容包含以下几方面：首先，</w:t>
            </w:r>
            <w:r>
              <w:rPr>
                <w:rFonts w:ascii="仿宋_GB2312" w:hAnsi="仿宋_GB2312" w:cs="仿宋_GB2312" w:eastAsia="仿宋_GB2312"/>
                <w:sz w:val="24"/>
                <w:color w:val="000000"/>
              </w:rPr>
              <w:t>通过现状调研、部门走访等方式掌握历史文化资源、生态资源和保护要求、土地利用现状、自然资源与生态环境状况、人口与社会经济发展水平、产业发展与布局、耕地面积及发展诉求；其次是单元划定，统筹考虑单元自然条件、资源禀赋、经济社会基础、开发保护形势等因素，确定单元划定方案，明确落实、传导内容及其管控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再次是</w:t>
            </w:r>
            <w:r>
              <w:rPr>
                <w:rFonts w:ascii="仿宋_GB2312" w:hAnsi="仿宋_GB2312" w:cs="仿宋_GB2312" w:eastAsia="仿宋_GB2312"/>
                <w:sz w:val="24"/>
                <w:color w:val="000000"/>
              </w:rPr>
              <w:t>编制单元详细规划，</w:t>
            </w:r>
            <w:r>
              <w:rPr>
                <w:rFonts w:ascii="仿宋_GB2312" w:hAnsi="仿宋_GB2312" w:cs="仿宋_GB2312" w:eastAsia="仿宋_GB2312"/>
                <w:sz w:val="24"/>
                <w:color w:val="000000"/>
              </w:rPr>
              <w:t>将上位总体规划战略目标、底线管控、功能布局、空间结构、资源利用等方面的要求分解落实到各规划单元，加强单元之间的系统协同，补充细化其它管控内容，充分考虑乡村地区生态、生产、生活等多重功能，结合单元划分类型，统筹单元内各村庄建设、产业用地规模，明确管控与引导要求，指引实施层面详细规划（村庄规划）的编制。</w:t>
            </w:r>
          </w:p>
          <w:p>
            <w:pPr>
              <w:pStyle w:val="null3"/>
              <w:ind w:firstLine="480"/>
              <w:jc w:val="both"/>
            </w:pPr>
            <w:r>
              <w:rPr>
                <w:rFonts w:ascii="仿宋_GB2312" w:hAnsi="仿宋_GB2312" w:cs="仿宋_GB2312" w:eastAsia="仿宋_GB2312"/>
                <w:sz w:val="24"/>
              </w:rPr>
              <w:t>四、服务周期</w:t>
            </w:r>
          </w:p>
          <w:p>
            <w:pPr>
              <w:pStyle w:val="null3"/>
              <w:ind w:firstLine="480"/>
              <w:jc w:val="both"/>
            </w:pPr>
            <w:r>
              <w:rPr>
                <w:rFonts w:ascii="仿宋_GB2312" w:hAnsi="仿宋_GB2312" w:cs="仿宋_GB2312" w:eastAsia="仿宋_GB2312"/>
                <w:sz w:val="24"/>
                <w:color w:val="000000"/>
              </w:rPr>
              <w:t>合同签订之日起</w:t>
            </w:r>
            <w:r>
              <w:rPr>
                <w:rFonts w:ascii="仿宋_GB2312" w:hAnsi="仿宋_GB2312" w:cs="仿宋_GB2312" w:eastAsia="仿宋_GB2312"/>
                <w:sz w:val="24"/>
                <w:color w:val="000000"/>
              </w:rPr>
              <w:t>90</w:t>
            </w:r>
            <w:r>
              <w:rPr>
                <w:rFonts w:ascii="仿宋_GB2312" w:hAnsi="仿宋_GB2312" w:cs="仿宋_GB2312" w:eastAsia="仿宋_GB2312"/>
                <w:sz w:val="24"/>
                <w:color w:val="000000"/>
              </w:rPr>
              <w:t>日历天。</w:t>
            </w:r>
          </w:p>
          <w:p>
            <w:pPr>
              <w:pStyle w:val="null3"/>
              <w:ind w:firstLine="64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满足采购人需求及合同要求。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满足采购人需求及合同要求。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合同签订后（具体付款方式以实际签订合同为主）</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项目通过专家评审后（具体付款方式以实际签订合同为主）</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（1）服务期限：自合同签订之日起90日历天；（2）服务地点：采购人指定地点。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 主体资格证 明文件</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 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具有健全的 财务会计制度</w:t>
            </w:r>
          </w:p>
        </w:tc>
        <w:tc>
          <w:tcPr>
            <w:tcW w:type="dxa" w:w="3322"/>
          </w:tcPr>
          <w:p>
            <w:pPr>
              <w:pStyle w:val="null3"/>
            </w:pPr>
            <w:r>
              <w:rPr>
                <w:rFonts w:ascii="仿宋_GB2312" w:hAnsi="仿宋_GB2312" w:cs="仿宋_GB2312" w:eastAsia="仿宋_GB2312"/>
              </w:rPr>
              <w:t>提供具有财务审计资质单位出具的2024年度财务报告或递交磋商响应文件前六个月内其基本账户银行出具的资信证明或政府采购信用 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 收和社会保 障资金证明</w:t>
            </w:r>
          </w:p>
        </w:tc>
        <w:tc>
          <w:tcPr>
            <w:tcW w:type="dxa" w:w="3322"/>
          </w:tcPr>
          <w:p>
            <w:pPr>
              <w:pStyle w:val="null3"/>
            </w:pPr>
            <w:r>
              <w:rPr>
                <w:rFonts w:ascii="仿宋_GB2312" w:hAnsi="仿宋_GB2312" w:cs="仿宋_GB2312" w:eastAsia="仿宋_GB2312"/>
              </w:rPr>
              <w:t>依法缴纳税收和社会保障资金提供2025年任意1个月缴纳证明（无需缴纳提供相应证明文件）；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 证明书或法 定代表人授 权书</w:t>
            </w:r>
          </w:p>
        </w:tc>
        <w:tc>
          <w:tcPr>
            <w:tcW w:type="dxa" w:w="3322"/>
          </w:tcPr>
          <w:p>
            <w:pPr>
              <w:pStyle w:val="null3"/>
            </w:pPr>
            <w:r>
              <w:rPr>
                <w:rFonts w:ascii="仿宋_GB2312" w:hAnsi="仿宋_GB2312" w:cs="仿宋_GB2312" w:eastAsia="仿宋_GB2312"/>
              </w:rPr>
              <w:t>法定代表人参加磋商的，须提供法人身份证明书，法定代表人授权他人参加磋商的，须提供法定代表 人授权委托书（附法定代表人、 被授权人身份证复印件及授权人近半年内一个月社保缴纳证明）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 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 名单；不得在“中国执行信息公开网 (http://zxgk.court.gov.cn)”被列为失信被执行人；不得为“中国政府采购网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提供参加政府采购活动近三年内在经营活动中没有重大违法记录的书面声明；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具有城乡规划编制乙级及以上资质；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拟派项目负责人须具备注册城乡规划师专业资格证书及规划相关专业高级职称。</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符合“磋商响应文件格式”的要求:按竞争性磋商交件规定格式填报了所有相关数据，字迹清晰可辨，并符合竞争性磋商文件其他规定。</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供应商认为需要提供的其他内容.docx 响应文件封面 法定代表人身份证明及授权委托书.docx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响应文件签字及盖章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供应商认为需要提供的其他内容.docx 响应文件封面 法定代表人身份证明及授权委托书.docx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响应文件构成是否有重大缺项，是否按照磋商文件要求的格式编写投标文件。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供应商认为需要提供的其他内容.docx 响应文件封面 法定代表人身份证明及授权委托书.docx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规划方案及内容</w:t>
            </w:r>
          </w:p>
        </w:tc>
        <w:tc>
          <w:tcPr>
            <w:tcW w:type="dxa" w:w="2492"/>
          </w:tcPr>
          <w:p>
            <w:pPr>
              <w:pStyle w:val="null3"/>
            </w:pPr>
            <w:r>
              <w:rPr>
                <w:rFonts w:ascii="仿宋_GB2312" w:hAnsi="仿宋_GB2312" w:cs="仿宋_GB2312" w:eastAsia="仿宋_GB2312"/>
              </w:rPr>
              <w:t>1、对项目规划背景、规划意义、总体思路、规划范围、期限及规划原则的认知解读。[0-10] 分 完整准确阐述项目的规划背景，总体认知解读充分，得(6-10]分； 较准确的阐述项目的规划背景，总体认知解读较充分，得(3-6] 分； 阐述项目的规划背景不准确，总体认知解读不充分，得 [0-3] 分。 2、相关工作基础掌握情况[0-10 ] 分对工作任务理解深刻，主要内容、提交成果等基础情况了解深入，相关基础工作准备充分得 (6-10] 分； 对任务理解一般，主要内容、提交成果等基础情况不够了解，相关基础工作准备一般得 (3-6] 分； 对任务理解不够透彻，主要内容、提交成果等基础情况了解不够具体充分，基本没有基础工作准备得 [0-3 ]分； 3、整体规划方案[0-10]分 重点难点分析准确到位、解决措施合理、制定的技术方案内容完整、表述清晰、引导实施可行性强、全面性高得(6-10]分； 重点难点分析较准确到位、解决措施较合理、制定的技术方案内容较完整、表述较清晰、引导实施可行性较强、全面性较高得(3-6] 分； 重点难点分析不准确、解决措施基本合理，制定的技术方案内容不完整、表述不清晰、引导实施可行性不强、全面性不高得[0-3 ]分。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成果文件质量、安全及服务保证措施</w:t>
            </w:r>
          </w:p>
        </w:tc>
        <w:tc>
          <w:tcPr>
            <w:tcW w:type="dxa" w:w="2492"/>
          </w:tcPr>
          <w:p>
            <w:pPr>
              <w:pStyle w:val="null3"/>
            </w:pPr>
            <w:r>
              <w:rPr>
                <w:rFonts w:ascii="仿宋_GB2312" w:hAnsi="仿宋_GB2312" w:cs="仿宋_GB2312" w:eastAsia="仿宋_GB2312"/>
              </w:rPr>
              <w:t>质量、安全目标明确、体系健全、保证措施切实可行得(10-20]分，质量、安全目标基本明确、体系基本健全、保证措施基本可行得[1-10]分，缺项得0分。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项目进度计划及保证措施</w:t>
            </w:r>
          </w:p>
        </w:tc>
        <w:tc>
          <w:tcPr>
            <w:tcW w:type="dxa" w:w="2492"/>
          </w:tcPr>
          <w:p>
            <w:pPr>
              <w:pStyle w:val="null3"/>
            </w:pPr>
            <w:r>
              <w:rPr>
                <w:rFonts w:ascii="仿宋_GB2312" w:hAnsi="仿宋_GB2312" w:cs="仿宋_GB2312" w:eastAsia="仿宋_GB2312"/>
              </w:rPr>
              <w:t>进度计划满足要求，节点清晰，控制措施合理得(4-5]分；进度计划基本满足要求，节点基本清晰，控制措施基本合理得[1-3]分；缺项得0分。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供应商针对本项目制定的服务期限、服务内容、服务承诺是否满足要求，是否合理、全面。 1.服务期限满足采购人要求、服务内容合理，服务承诺全面，得(3-5]分； 2.服务期限较能满足采购人要求、服务内容较合理，服务承诺较全面，得(1-3]分； 3.服务期限基本满足采购人要求、服务内容一般，服务承诺一般，得[0-1]分； 4.无或其它情况不得分。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人员配备：投入本项目人员，服务团队 分工明确，配置齐全</w:t>
            </w:r>
          </w:p>
        </w:tc>
        <w:tc>
          <w:tcPr>
            <w:tcW w:type="dxa" w:w="2492"/>
          </w:tcPr>
          <w:p>
            <w:pPr>
              <w:pStyle w:val="null3"/>
            </w:pPr>
            <w:r>
              <w:rPr>
                <w:rFonts w:ascii="仿宋_GB2312" w:hAnsi="仿宋_GB2312" w:cs="仿宋_GB2312" w:eastAsia="仿宋_GB2312"/>
              </w:rPr>
              <w:t>磋商小组根据人员配置的数量、职称、经验等方面，横向比较打分[1～10]分；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保密管理制度与方案</w:t>
            </w:r>
          </w:p>
        </w:tc>
        <w:tc>
          <w:tcPr>
            <w:tcW w:type="dxa" w:w="2492"/>
          </w:tcPr>
          <w:p>
            <w:pPr>
              <w:pStyle w:val="null3"/>
            </w:pPr>
            <w:r>
              <w:rPr>
                <w:rFonts w:ascii="仿宋_GB2312" w:hAnsi="仿宋_GB2312" w:cs="仿宋_GB2312" w:eastAsia="仿宋_GB2312"/>
              </w:rPr>
              <w:t xml:space="preserve"> 1. 提供针对本项目的专项保密管理方案，包含制度体系、责任分工、管控流程等核心内容，内容完整、具体、有针对性得(6-10]分； 内容基本完整，但针对性或实操性不足得(3-6] 分； 提供的方案内容不完整，或与项目实际需求脱节得[0-3 ]分。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以合同或成交通知书的形式提供投标人 近三年（2022年1月至今）的类似业绩</w:t>
            </w:r>
          </w:p>
        </w:tc>
        <w:tc>
          <w:tcPr>
            <w:tcW w:type="dxa" w:w="2492"/>
          </w:tcPr>
          <w:p>
            <w:pPr>
              <w:pStyle w:val="null3"/>
            </w:pPr>
            <w:r>
              <w:rPr>
                <w:rFonts w:ascii="仿宋_GB2312" w:hAnsi="仿宋_GB2312" w:cs="仿宋_GB2312" w:eastAsia="仿宋_GB2312"/>
              </w:rPr>
              <w:t>需提供类似合同或成交（中标）通知书，提供不全不得分，每一份计2.5分，计满10分为止；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采用低价优先法计算，即满足磋商文件要求且投标价格最低的最终磋商报价为评标基准价， 按照下列公式计算： 磋商报价得分=（评标基准价/最终磋商报价）×价格权值（即10%）×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详见附件：项目合同（参考）.docx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