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版本号：ZCSP-铜川市-2025-0074420250928001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指挥中心视频、卡口融合平台升级、扩容建设项目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ZCSP-铜川市-2025-00744</w:t>
      </w:r>
      <w:r>
        <w:br/>
      </w:r>
      <w:r>
        <w:br/>
      </w:r>
      <w:r>
        <w:br/>
      </w:r>
    </w:p>
    <w:p>
      <w:pPr>
        <w:pStyle w:val="null3"/>
        <w:jc w:val="center"/>
        <w:outlineLvl w:val="2"/>
      </w:pPr>
      <w:r>
        <w:rPr>
          <w:rFonts w:ascii="仿宋_GB2312" w:hAnsi="仿宋_GB2312" w:cs="仿宋_GB2312" w:eastAsia="仿宋_GB2312"/>
          <w:sz w:val="28"/>
          <w:b/>
        </w:rPr>
        <w:t>铜川市公安局交通警察支队</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铜川市公安局交通警察支队</w:t>
      </w:r>
      <w:r>
        <w:rPr>
          <w:rFonts w:ascii="仿宋_GB2312" w:hAnsi="仿宋_GB2312" w:cs="仿宋_GB2312" w:eastAsia="仿宋_GB2312"/>
        </w:rPr>
        <w:t>委托，拟对</w:t>
      </w:r>
      <w:r>
        <w:rPr>
          <w:rFonts w:ascii="仿宋_GB2312" w:hAnsi="仿宋_GB2312" w:cs="仿宋_GB2312" w:eastAsia="仿宋_GB2312"/>
        </w:rPr>
        <w:t>指挥中心视频、卡口融合平台升级、扩容建设项目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ZCSP-铜川市-2025-00744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指挥中心视频、卡口融合平台升级、扩容建设项目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铜川市公安局交通警察支队指挥中心视频、卡口融合平台升级、扩容建设。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近三年中任意一年财务审计报告（至少包括资产负债表和利润表，成立时间至提交投标文件截止时间不足一年的可提供成立后任意时段的资产负债表），或提供投标截止时间前三个月内其基本开户银行出具的资信证明及基本账户开户许可证；</w:t>
      </w:r>
    </w:p>
    <w:p>
      <w:pPr>
        <w:pStyle w:val="null3"/>
      </w:pPr>
      <w:r>
        <w:rPr>
          <w:rFonts w:ascii="仿宋_GB2312" w:hAnsi="仿宋_GB2312" w:cs="仿宋_GB2312" w:eastAsia="仿宋_GB2312"/>
        </w:rPr>
        <w:t>3、税收交纳证明：提供响应文件递交截止时间前一年内任意一个月的缴费凭据（依法免税的供应商应提供相关文件证明）；</w:t>
      </w:r>
    </w:p>
    <w:p>
      <w:pPr>
        <w:pStyle w:val="null3"/>
      </w:pPr>
      <w:r>
        <w:rPr>
          <w:rFonts w:ascii="仿宋_GB2312" w:hAnsi="仿宋_GB2312" w:cs="仿宋_GB2312" w:eastAsia="仿宋_GB2312"/>
        </w:rPr>
        <w:t>4、社会保障资金交纳证明：提供响应文件递交截止时间前一年内任意一个月的社保缴费凭据或社保机构开具的社会保险参保缴费情况证明（依法不需要缴纳社会保障资金的供应商应提供相关证明）；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5、承诺、说明及书面声明：1、提供具有履行本合同所必需的设备和专业技术能力的说明及承诺； 2、提供参加政府采购活动前三年内在经营活动中没有重大违法记录的书面声明；</w:t>
      </w:r>
    </w:p>
    <w:p>
      <w:pPr>
        <w:pStyle w:val="null3"/>
      </w:pPr>
      <w:r>
        <w:rPr>
          <w:rFonts w:ascii="仿宋_GB2312" w:hAnsi="仿宋_GB2312" w:cs="仿宋_GB2312" w:eastAsia="仿宋_GB2312"/>
        </w:rPr>
        <w:t>6、法定代表人授权书/法定代表人身份证明：法定代表人参与磋商时需提供法定代表人身份证复印件；被授权人参与磋商时需提供法定代表人授权委托书；</w:t>
      </w:r>
    </w:p>
    <w:p>
      <w:pPr>
        <w:pStyle w:val="null3"/>
      </w:pPr>
      <w:r>
        <w:rPr>
          <w:rFonts w:ascii="仿宋_GB2312" w:hAnsi="仿宋_GB2312" w:cs="仿宋_GB2312" w:eastAsia="仿宋_GB2312"/>
        </w:rPr>
        <w:t>7、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铜川市公安局交通警察支队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铜川市耀州区正阳路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铜川市公安局交通警察支队经办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18992989608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陕西省西安市未央区陕西省西安市经济技术开发区中登文景大厦B座2105室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闫晓颖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13468798104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采购包1：585,648.00元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铜川市公安局交通警察支队</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铜川市公安局交通警察支队</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具体事项以实际签订合同为准。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联系人：闫晓颖</w:t>
      </w:r>
    </w:p>
    <w:p>
      <w:pPr>
        <w:pStyle w:val="null3"/>
      </w:pPr>
      <w:r>
        <w:rPr>
          <w:rFonts w:ascii="仿宋_GB2312" w:hAnsi="仿宋_GB2312" w:cs="仿宋_GB2312" w:eastAsia="仿宋_GB2312"/>
        </w:rPr>
        <w:t>联系电话：13468798104</w:t>
      </w:r>
    </w:p>
    <w:p>
      <w:pPr>
        <w:pStyle w:val="null3"/>
      </w:pPr>
      <w:r>
        <w:rPr>
          <w:rFonts w:ascii="仿宋_GB2312" w:hAnsi="仿宋_GB2312" w:cs="仿宋_GB2312" w:eastAsia="仿宋_GB2312"/>
        </w:rPr>
        <w:t>地址：陕西省西安市未央区陕西省西安市经济技术开发区中登文景大厦B座2105室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铜川市公安局交通警察支队指挥中心视频、卡口融合平台升级、扩容建设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585,648.00</w:t>
      </w:r>
    </w:p>
    <w:p>
      <w:pPr>
        <w:pStyle w:val="null3"/>
      </w:pPr>
      <w:r>
        <w:rPr>
          <w:rFonts w:ascii="仿宋_GB2312" w:hAnsi="仿宋_GB2312" w:cs="仿宋_GB2312" w:eastAsia="仿宋_GB2312"/>
        </w:rPr>
        <w:t>采购包最高限价（元）: 585,648.00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585648</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585,648.00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标的名称：585648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99"/>
              <w:gridCol w:w="405"/>
              <w:gridCol w:w="2133"/>
              <w:gridCol w:w="227"/>
              <w:gridCol w:w="227"/>
            </w:tblGrid>
            <w:tr>
              <w:tc>
                <w:tcPr>
                  <w:tcW w:type="dxa" w:w="199"/>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0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13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产品描述</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3191"/>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b/>
                      <w:color w:val="000000"/>
                    </w:rPr>
                    <w:t>一、交通集指扩容</w:t>
                  </w:r>
                </w:p>
              </w:tc>
            </w:tr>
            <w:tr>
              <w:tc>
                <w:tcPr>
                  <w:tcW w:type="dxa" w:w="1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定制集指网关</w:t>
                  </w:r>
                </w:p>
              </w:tc>
              <w:tc>
                <w:tcPr>
                  <w:tcW w:type="dxa" w:w="2133"/>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▲主要用于将汇聚平台的卡口过车类和违法类数据通过标准集成指挥平台协议上传到集指平台，该模块用于铜川市公安局交通管理支队集成指挥网关扩容，需与原系统无缝对接。</w:t>
                  </w:r>
                  <w:r>
                    <w:br/>
                  </w:r>
                  <w:r>
                    <w:rPr>
                      <w:rFonts w:ascii="仿宋_GB2312" w:hAnsi="仿宋_GB2312" w:cs="仿宋_GB2312" w:eastAsia="仿宋_GB2312"/>
                      <w:sz w:val="19"/>
                      <w:color w:val="000000"/>
                    </w:rPr>
                    <w:t xml:space="preserve"> 支持异常数据记录分析，快速解决方法。</w:t>
                  </w:r>
                  <w:r>
                    <w:br/>
                  </w:r>
                  <w:r>
                    <w:rPr>
                      <w:rFonts w:ascii="仿宋_GB2312" w:hAnsi="仿宋_GB2312" w:cs="仿宋_GB2312" w:eastAsia="仿宋_GB2312"/>
                      <w:sz w:val="19"/>
                      <w:color w:val="000000"/>
                    </w:rPr>
                    <w:t xml:space="preserve"> 支持统计展示每日接收、上传成功、失败等数量及分时明细。</w:t>
                  </w:r>
                  <w:r>
                    <w:br/>
                  </w:r>
                  <w:r>
                    <w:rPr>
                      <w:rFonts w:ascii="仿宋_GB2312" w:hAnsi="仿宋_GB2312" w:cs="仿宋_GB2312" w:eastAsia="仿宋_GB2312"/>
                      <w:sz w:val="19"/>
                      <w:color w:val="000000"/>
                    </w:rPr>
                    <w:t xml:space="preserve"> 支持针对过车中无牌车、未识别、本地号牌车辆过滤不上传集成指挥。</w:t>
                  </w:r>
                  <w:r>
                    <w:br/>
                  </w:r>
                  <w:r>
                    <w:rPr>
                      <w:rFonts w:ascii="仿宋_GB2312" w:hAnsi="仿宋_GB2312" w:cs="仿宋_GB2312" w:eastAsia="仿宋_GB2312"/>
                      <w:sz w:val="19"/>
                      <w:color w:val="000000"/>
                    </w:rPr>
                    <w:t xml:space="preserve"> ▲运行状态展示；支持图形化展示数据从对接源接入到网关、网关传输给目标的数据流走向和异常报警（提供公安部有效检测报告复印件加盖原厂公章）</w:t>
                  </w:r>
                  <w:r>
                    <w:br/>
                  </w:r>
                  <w:r>
                    <w:rPr>
                      <w:rFonts w:ascii="仿宋_GB2312" w:hAnsi="仿宋_GB2312" w:cs="仿宋_GB2312" w:eastAsia="仿宋_GB2312"/>
                      <w:sz w:val="19"/>
                      <w:color w:val="000000"/>
                    </w:rPr>
                    <w:t xml:space="preserve"> ▲支持过车数据上传数量统计监测，包括应传数据量和实际处理量的实时展示，并可查看详细内容过车数据监测：支持过车数据上传数量统计监测，包括应传数据量和实际处理量的实时展示，并可查看详细内容；（提供公安部有效检测报告复印件加盖原厂公章）</w:t>
                  </w:r>
                  <w:r>
                    <w:br/>
                  </w:r>
                  <w:r>
                    <w:rPr>
                      <w:rFonts w:ascii="仿宋_GB2312" w:hAnsi="仿宋_GB2312" w:cs="仿宋_GB2312" w:eastAsia="仿宋_GB2312"/>
                      <w:sz w:val="19"/>
                      <w:color w:val="000000"/>
                    </w:rPr>
                    <w:t xml:space="preserve"> ▲违法数据监测：支持违法数据上传数量统计监测，包括应传量和实际处理量实时展示，并可查看详细内容；（提供公安部有效检测报告复印件加盖原厂公章）</w:t>
                  </w:r>
                  <w:r>
                    <w:br/>
                  </w:r>
                  <w:r>
                    <w:rPr>
                      <w:rFonts w:ascii="仿宋_GB2312" w:hAnsi="仿宋_GB2312" w:cs="仿宋_GB2312" w:eastAsia="仿宋_GB2312"/>
                      <w:sz w:val="19"/>
                      <w:color w:val="000000"/>
                    </w:rPr>
                    <w:t xml:space="preserve"> ▲系统报警监测：支持系统异常报警次数统计，如接口异常、程序异常报警，可查看具体的报警内容，并提示处理意见（提供公安部有效检测报告复印件加盖原厂公章）</w:t>
                  </w:r>
                  <w:r>
                    <w:br/>
                  </w:r>
                  <w:r>
                    <w:rPr>
                      <w:rFonts w:ascii="仿宋_GB2312" w:hAnsi="仿宋_GB2312" w:cs="仿宋_GB2312" w:eastAsia="仿宋_GB2312"/>
                      <w:sz w:val="19"/>
                      <w:color w:val="000000"/>
                    </w:rPr>
                    <w:t xml:space="preserve"> ▲系统警告监测：支持系统警告数统计，如查看具体警告内容。警告类型如：收到过车时间延迟&gt;50s，&lt;60s产生警告，收到过车时间延迟&gt;60s，系统产生报警（提供公安部有效检测报告复印件加盖原厂公章）</w:t>
                  </w:r>
                  <w:r>
                    <w:br/>
                  </w:r>
                  <w:r>
                    <w:rPr>
                      <w:rFonts w:ascii="仿宋_GB2312" w:hAnsi="仿宋_GB2312" w:cs="仿宋_GB2312" w:eastAsia="仿宋_GB2312"/>
                      <w:sz w:val="19"/>
                      <w:color w:val="000000"/>
                    </w:rPr>
                    <w:t xml:space="preserve"> ▲过车补录功能检测：支持按时间段和任务名称查询补传的过车记录（提供公安部有效检测报告复印件加盖原厂公章）</w:t>
                  </w:r>
                  <w:r>
                    <w:br/>
                  </w:r>
                  <w:r>
                    <w:rPr>
                      <w:rFonts w:ascii="仿宋_GB2312" w:hAnsi="仿宋_GB2312" w:cs="仿宋_GB2312" w:eastAsia="仿宋_GB2312"/>
                      <w:sz w:val="19"/>
                      <w:color w:val="000000"/>
                    </w:rPr>
                    <w:t xml:space="preserve"> ▲双机热备功能：支持配置单机模式或双机模式运行，默认单机模式（提供公安部有效检测报告复印件加盖原厂公章）</w:t>
                  </w:r>
                  <w:r>
                    <w:br/>
                  </w:r>
                  <w:r>
                    <w:rPr>
                      <w:rFonts w:ascii="仿宋_GB2312" w:hAnsi="仿宋_GB2312" w:cs="仿宋_GB2312" w:eastAsia="仿宋_GB2312"/>
                      <w:sz w:val="19"/>
                      <w:color w:val="000000"/>
                    </w:rPr>
                    <w:t xml:space="preserve"> 区间违法过滤规则：支持区间违法的上传过滤规则管理，系统会按照过滤规则进行数据过滤，不上传。支持规则添加，含区间选择，违法模板、时间模板、规则描述配置</w:t>
                  </w:r>
                  <w:r>
                    <w:br/>
                  </w:r>
                  <w:r>
                    <w:rPr>
                      <w:rFonts w:ascii="仿宋_GB2312" w:hAnsi="仿宋_GB2312" w:cs="仿宋_GB2312" w:eastAsia="仿宋_GB2312"/>
                      <w:sz w:val="19"/>
                      <w:color w:val="000000"/>
                    </w:rPr>
                    <w:t xml:space="preserve"> 违法过滤规则：支持单点违法的上传过滤规则管理，系统会按照过滤规则进行数据过滤，不上传。支持规则添加，含通道选择，违法代码模板、时间模板、规则描述配置</w:t>
                  </w:r>
                  <w:r>
                    <w:br/>
                  </w:r>
                  <w:r>
                    <w:rPr>
                      <w:rFonts w:ascii="仿宋_GB2312" w:hAnsi="仿宋_GB2312" w:cs="仿宋_GB2312" w:eastAsia="仿宋_GB2312"/>
                      <w:sz w:val="19"/>
                      <w:color w:val="000000"/>
                    </w:rPr>
                    <w:t xml:space="preserve"> 违法代码管理：支持对交通违法代码的管理，包括集指的违法代码及行为、违法道路类型、平台违法类型及名称、以及添加、删除、启用/停用操作支持快速导入导出违法代码到excel支持按照违法代码或行为模糊搜索，以及备案区间的启用/停用，编辑，删除，导入/导出，区间编码或名称模糊搜索</w:t>
                  </w:r>
                  <w:r>
                    <w:br/>
                  </w:r>
                  <w:r>
                    <w:rPr>
                      <w:rFonts w:ascii="仿宋_GB2312" w:hAnsi="仿宋_GB2312" w:cs="仿宋_GB2312" w:eastAsia="仿宋_GB2312"/>
                      <w:sz w:val="19"/>
                      <w:color w:val="000000"/>
                    </w:rPr>
                    <w:t xml:space="preserve"> 违法备案区间管理：支持违法备案区间管理，能excel批量导入区间和手动添加区间，区间信息包括区间名称、区间编码、前卡点地点名称、前卡点地点编码、后卡点地点名称、后卡点地点编码、道路类型</w:t>
                  </w:r>
                  <w:r>
                    <w:br/>
                  </w:r>
                  <w:r>
                    <w:rPr>
                      <w:rFonts w:ascii="仿宋_GB2312" w:hAnsi="仿宋_GB2312" w:cs="仿宋_GB2312" w:eastAsia="仿宋_GB2312"/>
                      <w:sz w:val="19"/>
                      <w:color w:val="000000"/>
                    </w:rPr>
                    <w:t xml:space="preserve"> 违法系统备案设备管理：支持对接备案设备管理，包括违法系统中的设备通道名称及编码、道路类型、平台的设备通道名称及编码信息，以及对备案设备的启用/停用，编辑和删除操作支持按照通道编码或名称模糊搜索支持按照设备树快速进行过滤显示</w:t>
                  </w:r>
                  <w:r>
                    <w:br/>
                  </w:r>
                  <w:r>
                    <w:rPr>
                      <w:rFonts w:ascii="仿宋_GB2312" w:hAnsi="仿宋_GB2312" w:cs="仿宋_GB2312" w:eastAsia="仿宋_GB2312"/>
                      <w:sz w:val="19"/>
                      <w:color w:val="000000"/>
                    </w:rPr>
                    <w:t xml:space="preserve"> 违法系统对接：支持违法系统对接参数设置，包括对接开关、IP地址、端口、接口类型和接口序列号参数</w:t>
                  </w:r>
                  <w:r>
                    <w:br/>
                  </w:r>
                  <w:r>
                    <w:rPr>
                      <w:rFonts w:ascii="仿宋_GB2312" w:hAnsi="仿宋_GB2312" w:cs="仿宋_GB2312" w:eastAsia="仿宋_GB2312"/>
                      <w:sz w:val="19"/>
                      <w:color w:val="000000"/>
                    </w:rPr>
                    <w:t xml:space="preserve"> 缉查布控备案设备管理：支持对接备案设备管理，包括缉查布控中的设备通道名称及编码、方向、平台的设备通道名称及编码信息，以及对备案设备的启用/停用，编辑和删除操作支持按照通道编码或名称模糊搜索支持按照设备树快速进行过滤显示</w:t>
                  </w:r>
                  <w:r>
                    <w:br/>
                  </w:r>
                  <w:r>
                    <w:rPr>
                      <w:rFonts w:ascii="仿宋_GB2312" w:hAnsi="仿宋_GB2312" w:cs="仿宋_GB2312" w:eastAsia="仿宋_GB2312"/>
                      <w:sz w:val="19"/>
                      <w:color w:val="000000"/>
                    </w:rPr>
                    <w:t xml:space="preserve"> 缉查布控系统对接：支持缉查布控系统对接参数设置，包括对接开关、IP地址、端口和接口序列号参数</w:t>
                  </w:r>
                  <w:r>
                    <w:br/>
                  </w:r>
                  <w:r>
                    <w:rPr>
                      <w:rFonts w:ascii="仿宋_GB2312" w:hAnsi="仿宋_GB2312" w:cs="仿宋_GB2312" w:eastAsia="仿宋_GB2312"/>
                      <w:sz w:val="19"/>
                      <w:color w:val="000000"/>
                    </w:rPr>
                    <w:t xml:space="preserve"> 端口映射模式：支持端口映射模式组网，上传模式可配置为对接集成指挥平台（部署在视频专网）</w:t>
                  </w:r>
                  <w:r>
                    <w:br/>
                  </w:r>
                  <w:r>
                    <w:rPr>
                      <w:rFonts w:ascii="仿宋_GB2312" w:hAnsi="仿宋_GB2312" w:cs="仿宋_GB2312" w:eastAsia="仿宋_GB2312"/>
                      <w:sz w:val="19"/>
                      <w:color w:val="000000"/>
                    </w:rPr>
                    <w:t xml:space="preserve"> 前置机模式：支持集指前置机模式组网，上传模式可配置为对接集成指挥平台（部署在公安网）</w:t>
                  </w:r>
                  <w:r>
                    <w:br/>
                  </w:r>
                  <w:r>
                    <w:rPr>
                      <w:rFonts w:ascii="仿宋_GB2312" w:hAnsi="仿宋_GB2312" w:cs="仿宋_GB2312" w:eastAsia="仿宋_GB2312"/>
                      <w:sz w:val="19"/>
                      <w:color w:val="000000"/>
                    </w:rPr>
                    <w:t xml:space="preserve"> 一键重启：支持一键重启服务</w:t>
                  </w:r>
                  <w:r>
                    <w:br/>
                  </w:r>
                  <w:r>
                    <w:rPr>
                      <w:rFonts w:ascii="仿宋_GB2312" w:hAnsi="仿宋_GB2312" w:cs="仿宋_GB2312" w:eastAsia="仿宋_GB2312"/>
                      <w:sz w:val="19"/>
                      <w:color w:val="000000"/>
                    </w:rPr>
                    <w:t xml:space="preserve"> 一键清空配置：支持一键清空系统全部配置内容</w:t>
                  </w:r>
                  <w:r>
                    <w:br/>
                  </w:r>
                  <w:r>
                    <w:rPr>
                      <w:rFonts w:ascii="仿宋_GB2312" w:hAnsi="仿宋_GB2312" w:cs="仿宋_GB2312" w:eastAsia="仿宋_GB2312"/>
                      <w:sz w:val="19"/>
                      <w:color w:val="000000"/>
                    </w:rPr>
                    <w:t xml:space="preserve"> 导出空白模板：支持导出系统空白模板</w:t>
                  </w:r>
                  <w:r>
                    <w:br/>
                  </w:r>
                  <w:r>
                    <w:rPr>
                      <w:rFonts w:ascii="仿宋_GB2312" w:hAnsi="仿宋_GB2312" w:cs="仿宋_GB2312" w:eastAsia="仿宋_GB2312"/>
                      <w:sz w:val="19"/>
                      <w:color w:val="000000"/>
                    </w:rPr>
                    <w:t xml:space="preserve"> 一键导出配置：支持一键导出全部配置为excel格式</w:t>
                  </w:r>
                  <w:r>
                    <w:br/>
                  </w:r>
                  <w:r>
                    <w:rPr>
                      <w:rFonts w:ascii="仿宋_GB2312" w:hAnsi="仿宋_GB2312" w:cs="仿宋_GB2312" w:eastAsia="仿宋_GB2312"/>
                      <w:sz w:val="19"/>
                      <w:color w:val="000000"/>
                    </w:rPr>
                    <w:t xml:space="preserve"> 一键导入配置：支持按照excel导入系统全部参数，一键导入</w:t>
                  </w:r>
                  <w:r>
                    <w:br/>
                  </w:r>
                  <w:r>
                    <w:rPr>
                      <w:rFonts w:ascii="仿宋_GB2312" w:hAnsi="仿宋_GB2312" w:cs="仿宋_GB2312" w:eastAsia="仿宋_GB2312"/>
                      <w:sz w:val="19"/>
                      <w:color w:val="000000"/>
                    </w:rPr>
                    <w:t xml:space="preserve"> 违法对接接口：支持集指《外挂接口使用手册》中的违法数据对接接口</w:t>
                  </w:r>
                  <w:r>
                    <w:br/>
                  </w:r>
                  <w:r>
                    <w:rPr>
                      <w:rFonts w:ascii="仿宋_GB2312" w:hAnsi="仿宋_GB2312" w:cs="仿宋_GB2312" w:eastAsia="仿宋_GB2312"/>
                      <w:sz w:val="19"/>
                      <w:color w:val="000000"/>
                    </w:rPr>
                    <w:t xml:space="preserve"> 过车对接接口：支持《全国机动车缉查布控系统卡口数据上传规范》中的过车数据对接接口</w:t>
                  </w:r>
                  <w:r>
                    <w:br/>
                  </w:r>
                  <w:r>
                    <w:rPr>
                      <w:rFonts w:ascii="仿宋_GB2312" w:hAnsi="仿宋_GB2312" w:cs="仿宋_GB2312" w:eastAsia="仿宋_GB2312"/>
                      <w:sz w:val="19"/>
                      <w:color w:val="000000"/>
                    </w:rPr>
                    <w:t xml:space="preserve"> 密码找回：支持通过回答密保问题，重置密码</w:t>
                  </w:r>
                  <w:r>
                    <w:br/>
                  </w:r>
                  <w:r>
                    <w:rPr>
                      <w:rFonts w:ascii="仿宋_GB2312" w:hAnsi="仿宋_GB2312" w:cs="仿宋_GB2312" w:eastAsia="仿宋_GB2312"/>
                      <w:sz w:val="19"/>
                      <w:color w:val="000000"/>
                    </w:rPr>
                    <w:t xml:space="preserve"> 密保设置：支持密保问题设置，可设置三个密保问题，方便快速找回密码</w:t>
                  </w:r>
                  <w:r>
                    <w:br/>
                  </w:r>
                  <w:r>
                    <w:rPr>
                      <w:rFonts w:ascii="仿宋_GB2312" w:hAnsi="仿宋_GB2312" w:cs="仿宋_GB2312" w:eastAsia="仿宋_GB2312"/>
                      <w:sz w:val="19"/>
                      <w:color w:val="000000"/>
                    </w:rPr>
                    <w:t xml:space="preserve"> 补录任务：支持人工补传某些设备在某段时间范围内的过车记录任务</w:t>
                  </w:r>
                  <w:r>
                    <w:br/>
                  </w:r>
                  <w:r>
                    <w:rPr>
                      <w:rFonts w:ascii="仿宋_GB2312" w:hAnsi="仿宋_GB2312" w:cs="仿宋_GB2312" w:eastAsia="仿宋_GB2312"/>
                      <w:sz w:val="19"/>
                      <w:color w:val="000000"/>
                    </w:rPr>
                    <w:t xml:space="preserve"> 异常日志下载：支持异常日志下载</w:t>
                  </w:r>
                  <w:r>
                    <w:br/>
                  </w:r>
                  <w:r>
                    <w:rPr>
                      <w:rFonts w:ascii="仿宋_GB2312" w:hAnsi="仿宋_GB2312" w:cs="仿宋_GB2312" w:eastAsia="仿宋_GB2312"/>
                      <w:sz w:val="19"/>
                      <w:color w:val="000000"/>
                    </w:rPr>
                    <w:t xml:space="preserve"> 近30天问题数：支持统计分析系统近30天内的运行问题数量，可下钻查询问题详情</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99"/>
              <w:gridCol w:w="405"/>
              <w:gridCol w:w="2133"/>
              <w:gridCol w:w="227"/>
              <w:gridCol w:w="227"/>
            </w:tblGrid>
            <w:tr>
              <w:tc>
                <w:tcPr>
                  <w:tcW w:type="dxa" w:w="199"/>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0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13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产品描述</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3191"/>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b/>
                      <w:color w:val="000000"/>
                    </w:rPr>
                    <w:t>二、存储扩容</w:t>
                  </w:r>
                </w:p>
              </w:tc>
            </w:tr>
            <w:tr>
              <w:tc>
                <w:tcPr>
                  <w:tcW w:type="dxa" w:w="1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网络视频存储服务器</w:t>
                  </w:r>
                </w:p>
              </w:tc>
              <w:tc>
                <w:tcPr>
                  <w:tcW w:type="dxa" w:w="2133"/>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≥单颗64位多核高性能处理器，≥2个内存条，≥8GB内存；</w:t>
                  </w:r>
                  <w:r>
                    <w:br/>
                  </w:r>
                  <w:r>
                    <w:rPr>
                      <w:rFonts w:ascii="仿宋_GB2312" w:hAnsi="仿宋_GB2312" w:cs="仿宋_GB2312" w:eastAsia="仿宋_GB2312"/>
                      <w:sz w:val="19"/>
                      <w:color w:val="000000"/>
                    </w:rPr>
                    <w:t xml:space="preserve"> ≤6U机箱，≥48盘位，1+1冗余电源，可支持对硬盘、电源、风扇、控制器模块热插拔维护；</w:t>
                  </w:r>
                  <w:r>
                    <w:br/>
                  </w:r>
                  <w:r>
                    <w:rPr>
                      <w:rFonts w:ascii="仿宋_GB2312" w:hAnsi="仿宋_GB2312" w:cs="仿宋_GB2312" w:eastAsia="仿宋_GB2312"/>
                      <w:sz w:val="19"/>
                      <w:color w:val="000000"/>
                    </w:rPr>
                    <w:t xml:space="preserve"> ≥4个10/100/1000Mbps自适应以太网电口，≥1个10/100Mbps自适用管理网口，可扩展≥2张PCIE标卡；</w:t>
                  </w:r>
                  <w:r>
                    <w:br/>
                  </w:r>
                  <w:r>
                    <w:rPr>
                      <w:rFonts w:ascii="仿宋_GB2312" w:hAnsi="仿宋_GB2312" w:cs="仿宋_GB2312" w:eastAsia="仿宋_GB2312"/>
                      <w:sz w:val="19"/>
                      <w:color w:val="000000"/>
                    </w:rPr>
                    <w:t xml:space="preserve"> 可适配CMR&amp;SMR硬盘，支持SATA硬盘，CMR单盘最大支持24TB硬盘，SMR单盘最大支持30TB；</w:t>
                  </w:r>
                  <w:r>
                    <w:br/>
                  </w:r>
                  <w:r>
                    <w:rPr>
                      <w:rFonts w:ascii="仿宋_GB2312" w:hAnsi="仿宋_GB2312" w:cs="仿宋_GB2312" w:eastAsia="仿宋_GB2312"/>
                      <w:sz w:val="19"/>
                      <w:color w:val="000000"/>
                    </w:rPr>
                    <w:t xml:space="preserve"> ≥1个HDMI，≥4个USB，≥1个eSATA，≥1个RS232；</w:t>
                  </w:r>
                  <w:r>
                    <w:br/>
                  </w:r>
                  <w:r>
                    <w:rPr>
                      <w:rFonts w:ascii="仿宋_GB2312" w:hAnsi="仿宋_GB2312" w:cs="仿宋_GB2312" w:eastAsia="仿宋_GB2312"/>
                      <w:sz w:val="19"/>
                      <w:color w:val="000000"/>
                    </w:rPr>
                    <w:t xml:space="preserve"> 支持RAID0/1/5/6/10/50/60，SRAID，支持全局热备和局部热备盘；</w:t>
                  </w:r>
                  <w:r>
                    <w:br/>
                  </w:r>
                  <w:r>
                    <w:rPr>
                      <w:rFonts w:ascii="仿宋_GB2312" w:hAnsi="仿宋_GB2312" w:cs="仿宋_GB2312" w:eastAsia="仿宋_GB2312"/>
                      <w:sz w:val="19"/>
                      <w:color w:val="000000"/>
                    </w:rPr>
                    <w:t xml:space="preserve"> 支持≥450路H.264/H.265混合接入，网络带宽≥1024Mbps接入，≥1024Mbps存储，≥1024Mbps转发；</w:t>
                  </w:r>
                  <w:r>
                    <w:br/>
                  </w:r>
                  <w:r>
                    <w:rPr>
                      <w:rFonts w:ascii="仿宋_GB2312" w:hAnsi="仿宋_GB2312" w:cs="仿宋_GB2312" w:eastAsia="仿宋_GB2312"/>
                      <w:sz w:val="19"/>
                      <w:color w:val="000000"/>
                    </w:rPr>
                    <w:t xml:space="preserve"> 可通过ONVIF、GB28181、RTSP、视图库、主动注册等协议管理不同厂家前端摄像头，实现视频存储；</w:t>
                  </w:r>
                  <w:r>
                    <w:br/>
                  </w:r>
                  <w:r>
                    <w:rPr>
                      <w:rFonts w:ascii="仿宋_GB2312" w:hAnsi="仿宋_GB2312" w:cs="仿宋_GB2312" w:eastAsia="仿宋_GB2312"/>
                      <w:sz w:val="19"/>
                      <w:color w:val="000000"/>
                    </w:rPr>
                    <w:t xml:space="preserve"> 支持iSCSI客户端模式，访问第三方存储资源，增加存储空间，延长存储周期；</w:t>
                  </w:r>
                  <w:r>
                    <w:br/>
                  </w:r>
                  <w:r>
                    <w:rPr>
                      <w:rFonts w:ascii="仿宋_GB2312" w:hAnsi="仿宋_GB2312" w:cs="仿宋_GB2312" w:eastAsia="仿宋_GB2312"/>
                      <w:sz w:val="19"/>
                      <w:color w:val="000000"/>
                    </w:rPr>
                    <w:t xml:space="preserve"> 支持硬盘健康状态监测，定期巡检，针对异常硬盘风险预警，支持系统盘、风扇、电源等异常告警；</w:t>
                  </w:r>
                  <w:r>
                    <w:br/>
                  </w:r>
                  <w:r>
                    <w:rPr>
                      <w:rFonts w:ascii="仿宋_GB2312" w:hAnsi="仿宋_GB2312" w:cs="仿宋_GB2312" w:eastAsia="仿宋_GB2312"/>
                      <w:sz w:val="19"/>
                      <w:color w:val="000000"/>
                    </w:rPr>
                    <w:t xml:space="preserve"> 可结合硬盘状态、RAID配置、存储模式、网络状态、录像状态等信息，智能诊断用户配置合规性，保障整机可靠运行；</w:t>
                  </w:r>
                  <w:r>
                    <w:br/>
                  </w:r>
                  <w:r>
                    <w:rPr>
                      <w:rFonts w:ascii="仿宋_GB2312" w:hAnsi="仿宋_GB2312" w:cs="仿宋_GB2312" w:eastAsia="仿宋_GB2312"/>
                      <w:sz w:val="19"/>
                      <w:color w:val="000000"/>
                    </w:rPr>
                    <w:t xml:space="preserve"> 可配合智能前端摄像头，实现结构化告警、周界告警、入户电梯告警等多种报警事件、图片透传平台；</w:t>
                  </w:r>
                  <w:r>
                    <w:br/>
                  </w:r>
                  <w:r>
                    <w:rPr>
                      <w:rFonts w:ascii="仿宋_GB2312" w:hAnsi="仿宋_GB2312" w:cs="仿宋_GB2312" w:eastAsia="仿宋_GB2312"/>
                      <w:sz w:val="19"/>
                      <w:color w:val="000000"/>
                    </w:rPr>
                    <w:t xml:space="preserve"> 支持关键录像加锁，确保不被循环覆盖；</w:t>
                  </w:r>
                  <w:r>
                    <w:br/>
                  </w:r>
                  <w:r>
                    <w:rPr>
                      <w:rFonts w:ascii="仿宋_GB2312" w:hAnsi="仿宋_GB2312" w:cs="仿宋_GB2312" w:eastAsia="仿宋_GB2312"/>
                      <w:sz w:val="19"/>
                      <w:color w:val="000000"/>
                    </w:rPr>
                    <w:t xml:space="preserve"> 支持N+M集群模式，可实现单台或多台设备故障时，故障设备业务自动迁移到其它健康设备上，保障业务不中断；</w:t>
                  </w:r>
                  <w:r>
                    <w:br/>
                  </w:r>
                  <w:r>
                    <w:rPr>
                      <w:rFonts w:ascii="仿宋_GB2312" w:hAnsi="仿宋_GB2312" w:cs="仿宋_GB2312" w:eastAsia="仿宋_GB2312"/>
                      <w:sz w:val="19"/>
                      <w:color w:val="000000"/>
                    </w:rPr>
                    <w:t xml:space="preserve"> 采用国产操作系统，性能高、稳定、可控，安全性高。</w:t>
                  </w:r>
                  <w:r>
                    <w:br/>
                  </w:r>
                  <w:r>
                    <w:rPr>
                      <w:rFonts w:ascii="仿宋_GB2312" w:hAnsi="仿宋_GB2312" w:cs="仿宋_GB2312" w:eastAsia="仿宋_GB2312"/>
                      <w:sz w:val="19"/>
                      <w:color w:val="000000"/>
                    </w:rPr>
                    <w:t xml:space="preserve"> ▲支持 NL-SAS 硬盘、 空气硬盘、 14T、16T、 18T、 20T、 22T 氦气硬盘接入；支持接入容量为 1TB、 2TB、 3TB、 4TB、5TB、 6TB、 8TB、 10TB、 12TB、 14TB、16TB、 18T、 20T、 22T 的 SATA/SAS 磁盘；（提供公安部有效检测报告复印件加盖原厂公章或投标专用章）</w:t>
                  </w:r>
                  <w:r>
                    <w:br/>
                  </w:r>
                  <w:r>
                    <w:rPr>
                      <w:rFonts w:ascii="仿宋_GB2312" w:hAnsi="仿宋_GB2312" w:cs="仿宋_GB2312" w:eastAsia="仿宋_GB2312"/>
                      <w:sz w:val="19"/>
                      <w:color w:val="000000"/>
                    </w:rPr>
                    <w:t xml:space="preserve"> ▲前端IPC、NVR、DVR发生断网，待恢复网络连接后，可将断网时段内的录像续传到服务器，并可通过浏览器设置自动回传和手动回传，支持≥1024路4Mbps的录像回传；（提供公安部有效检测报告复印件加盖原厂公章或投标专用章）</w:t>
                  </w:r>
                  <w:r>
                    <w:br/>
                  </w:r>
                  <w:r>
                    <w:rPr>
                      <w:rFonts w:ascii="仿宋_GB2312" w:hAnsi="仿宋_GB2312" w:cs="仿宋_GB2312" w:eastAsia="仿宋_GB2312"/>
                      <w:sz w:val="19"/>
                      <w:color w:val="000000"/>
                    </w:rPr>
                    <w:t xml:space="preserve"> ▲支持单台/多台存储设备组建网络RAID， 允许每组 RAID 中任意 1～16 个存储设备或硬盘故障， 数据应不丢失，存储服务不中断；</w:t>
                  </w:r>
                  <w:r>
                    <w:br/>
                  </w:r>
                  <w:r>
                    <w:rPr>
                      <w:rFonts w:ascii="仿宋_GB2312" w:hAnsi="仿宋_GB2312" w:cs="仿宋_GB2312" w:eastAsia="仿宋_GB2312"/>
                      <w:sz w:val="19"/>
                      <w:color w:val="000000"/>
                    </w:rPr>
                    <w:t xml:space="preserve"> 支持负载均衡；（提供公安部有效检测报告复印件加盖原厂公章或投标专用章）</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199"/>
              <w:gridCol w:w="405"/>
              <w:gridCol w:w="2133"/>
              <w:gridCol w:w="227"/>
              <w:gridCol w:w="227"/>
            </w:tblGrid>
            <w:tr>
              <w:tc>
                <w:tcPr>
                  <w:tcW w:type="dxa" w:w="199"/>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0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13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产品描述</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3191"/>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b/>
                      <w:color w:val="000000"/>
                    </w:rPr>
                    <w:t>二、存储扩容</w:t>
                  </w:r>
                </w:p>
              </w:tc>
            </w:tr>
            <w:tr>
              <w:tc>
                <w:tcPr>
                  <w:tcW w:type="dxa" w:w="1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希捷8TB硬盘</w:t>
                  </w:r>
                </w:p>
              </w:tc>
              <w:tc>
                <w:tcPr>
                  <w:tcW w:type="dxa" w:w="2133"/>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单盘容量：≥8TB；</w:t>
                  </w:r>
                  <w:r>
                    <w:br/>
                  </w:r>
                  <w:r>
                    <w:rPr>
                      <w:rFonts w:ascii="仿宋_GB2312" w:hAnsi="仿宋_GB2312" w:cs="仿宋_GB2312" w:eastAsia="仿宋_GB2312"/>
                      <w:sz w:val="19"/>
                      <w:color w:val="000000"/>
                    </w:rPr>
                    <w:t xml:space="preserve"> 缓存：≥256MB；</w:t>
                  </w:r>
                  <w:r>
                    <w:br/>
                  </w:r>
                  <w:r>
                    <w:rPr>
                      <w:rFonts w:ascii="仿宋_GB2312" w:hAnsi="仿宋_GB2312" w:cs="仿宋_GB2312" w:eastAsia="仿宋_GB2312"/>
                      <w:sz w:val="19"/>
                      <w:color w:val="000000"/>
                    </w:rPr>
                    <w:t xml:space="preserve"> 转速：≥7200RPM；</w:t>
                  </w:r>
                  <w:r>
                    <w:br/>
                  </w:r>
                  <w:r>
                    <w:rPr>
                      <w:rFonts w:ascii="仿宋_GB2312" w:hAnsi="仿宋_GB2312" w:cs="仿宋_GB2312" w:eastAsia="仿宋_GB2312"/>
                      <w:sz w:val="19"/>
                      <w:color w:val="000000"/>
                    </w:rPr>
                    <w:t xml:space="preserve"> 硬盘接口：SATA</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99"/>
              <w:gridCol w:w="405"/>
              <w:gridCol w:w="2133"/>
              <w:gridCol w:w="227"/>
              <w:gridCol w:w="227"/>
            </w:tblGrid>
            <w:tr>
              <w:tc>
                <w:tcPr>
                  <w:tcW w:type="dxa" w:w="199"/>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0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13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产品描述</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3191"/>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b/>
                      <w:color w:val="000000"/>
                    </w:rPr>
                    <w:t>三、流媒体扩容</w:t>
                  </w:r>
                </w:p>
              </w:tc>
            </w:tr>
            <w:tr>
              <w:tc>
                <w:tcPr>
                  <w:tcW w:type="dxa" w:w="1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交通视频融合平台流媒体节点软件</w:t>
                  </w:r>
                </w:p>
              </w:tc>
              <w:tc>
                <w:tcPr>
                  <w:tcW w:type="dxa" w:w="2133"/>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▲该流媒体节点软件用于配合铜川市公安局交通管理支队现交通视频融合平台使用，扩容流媒体存储与转发性能，需与原系统无缝对接。</w:t>
                  </w:r>
                  <w:r>
                    <w:br/>
                  </w:r>
                  <w:r>
                    <w:rPr>
                      <w:rFonts w:ascii="仿宋_GB2312" w:hAnsi="仿宋_GB2312" w:cs="仿宋_GB2312" w:eastAsia="仿宋_GB2312"/>
                      <w:sz w:val="19"/>
                      <w:color w:val="000000"/>
                    </w:rPr>
                    <w:t xml:space="preserve"> 视频设备存储：单节点支持≥256路存储（4M码流，存储网段需4个千兆网口绑定）；</w:t>
                  </w:r>
                  <w:r>
                    <w:br/>
                  </w:r>
                  <w:r>
                    <w:rPr>
                      <w:rFonts w:ascii="仿宋_GB2312" w:hAnsi="仿宋_GB2312" w:cs="仿宋_GB2312" w:eastAsia="仿宋_GB2312"/>
                      <w:sz w:val="19"/>
                      <w:color w:val="000000"/>
                    </w:rPr>
                    <w:t xml:space="preserve"> 视频转发：单节点支持≥256路转发（4M码流，转发网段需4个千兆网口绑定）；</w:t>
                  </w:r>
                  <w:r>
                    <w:br/>
                  </w:r>
                  <w:r>
                    <w:rPr>
                      <w:rFonts w:ascii="仿宋_GB2312" w:hAnsi="仿宋_GB2312" w:cs="仿宋_GB2312" w:eastAsia="仿宋_GB2312"/>
                      <w:sz w:val="19"/>
                      <w:color w:val="000000"/>
                    </w:rPr>
                    <w:t xml:space="preserve"> 秒级并发请求：≥80路/3s（不同通道）（含本级和级联）</w:t>
                  </w:r>
                  <w:r>
                    <w:br/>
                  </w:r>
                  <w:r>
                    <w:rPr>
                      <w:rFonts w:ascii="仿宋_GB2312" w:hAnsi="仿宋_GB2312" w:cs="仿宋_GB2312" w:eastAsia="仿宋_GB2312"/>
                      <w:sz w:val="19"/>
                      <w:color w:val="000000"/>
                    </w:rPr>
                    <w:t xml:space="preserve"> 卡口通道数据：支持≥600W/天（或者支持≥300W/天，开启二次分析或者数据级联场景）抓拍数据（人像背景图：485K，抠图：8K；车辆：400K，抠图：4K）接入；与视频存储转发、物联数据存储等其他存储能力互斥；</w:t>
                  </w:r>
                  <w:r>
                    <w:br/>
                  </w:r>
                  <w:r>
                    <w:rPr>
                      <w:rFonts w:ascii="仿宋_GB2312" w:hAnsi="仿宋_GB2312" w:cs="仿宋_GB2312" w:eastAsia="仿宋_GB2312"/>
                      <w:sz w:val="19"/>
                      <w:color w:val="000000"/>
                    </w:rPr>
                    <w:t xml:space="preserve"> 物联数据：支持总数据≥2400W/天MAC采集数据存储；与视频存储、卡口存储等其他存储能力互斥；</w:t>
                  </w:r>
                  <w:r>
                    <w:br/>
                  </w:r>
                  <w:r>
                    <w:rPr>
                      <w:rFonts w:ascii="仿宋_GB2312" w:hAnsi="仿宋_GB2312" w:cs="仿宋_GB2312" w:eastAsia="仿宋_GB2312"/>
                      <w:sz w:val="19"/>
                      <w:color w:val="000000"/>
                    </w:rPr>
                    <w:t xml:space="preserve"> 存储挂载容量：≥600T（10盘符×60T）</w:t>
                  </w:r>
                  <w:r>
                    <w:br/>
                  </w:r>
                  <w:r>
                    <w:rPr>
                      <w:rFonts w:ascii="仿宋_GB2312" w:hAnsi="仿宋_GB2312" w:cs="仿宋_GB2312" w:eastAsia="仿宋_GB2312"/>
                      <w:sz w:val="19"/>
                      <w:color w:val="000000"/>
                    </w:rPr>
                    <w:t xml:space="preserve"> 存储挂载协议：支持ISCSI协议挂载；</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99"/>
              <w:gridCol w:w="405"/>
              <w:gridCol w:w="2133"/>
              <w:gridCol w:w="227"/>
              <w:gridCol w:w="227"/>
            </w:tblGrid>
            <w:tr>
              <w:tc>
                <w:tcPr>
                  <w:tcW w:type="dxa" w:w="199"/>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0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13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产品描述</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3191"/>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b/>
                      <w:color w:val="000000"/>
                    </w:rPr>
                    <w:t>四、大屏控制系统</w:t>
                  </w:r>
                </w:p>
              </w:tc>
            </w:tr>
            <w:tr>
              <w:tc>
                <w:tcPr>
                  <w:tcW w:type="dxa" w:w="1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视频综合管理设备</w:t>
                  </w:r>
                </w:p>
              </w:tc>
              <w:tc>
                <w:tcPr>
                  <w:tcW w:type="dxa" w:w="2133"/>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19”标准12U机架设计，ATCA电信级架构</w:t>
                  </w:r>
                  <w:r>
                    <w:br/>
                  </w:r>
                  <w:r>
                    <w:rPr>
                      <w:rFonts w:ascii="仿宋_GB2312" w:hAnsi="仿宋_GB2312" w:cs="仿宋_GB2312" w:eastAsia="仿宋_GB2312"/>
                      <w:sz w:val="19"/>
                      <w:color w:val="000000"/>
                    </w:rPr>
                    <w:t xml:space="preserve"> ≥10个业务卡槽位</w:t>
                  </w:r>
                  <w:r>
                    <w:br/>
                  </w:r>
                  <w:r>
                    <w:rPr>
                      <w:rFonts w:ascii="仿宋_GB2312" w:hAnsi="仿宋_GB2312" w:cs="仿宋_GB2312" w:eastAsia="仿宋_GB2312"/>
                      <w:sz w:val="19"/>
                      <w:color w:val="000000"/>
                    </w:rPr>
                    <w:t xml:space="preserve"> 插卡式模块设计，可根据市场需求灵活配置</w:t>
                  </w:r>
                  <w:r>
                    <w:br/>
                  </w:r>
                  <w:r>
                    <w:rPr>
                      <w:rFonts w:ascii="仿宋_GB2312" w:hAnsi="仿宋_GB2312" w:cs="仿宋_GB2312" w:eastAsia="仿宋_GB2312"/>
                      <w:sz w:val="19"/>
                      <w:color w:val="000000"/>
                    </w:rPr>
                    <w:t xml:space="preserve"> 双电源冗余，适应于机房等应用环境</w:t>
                  </w:r>
                  <w:r>
                    <w:br/>
                  </w:r>
                  <w:r>
                    <w:rPr>
                      <w:rFonts w:ascii="仿宋_GB2312" w:hAnsi="仿宋_GB2312" w:cs="仿宋_GB2312" w:eastAsia="仿宋_GB2312"/>
                      <w:sz w:val="19"/>
                      <w:color w:val="000000"/>
                    </w:rPr>
                    <w:t xml:space="preserve"> 智能风扇自动调温，确保系统稳定可靠</w:t>
                  </w:r>
                  <w:r>
                    <w:br/>
                  </w:r>
                  <w:r>
                    <w:rPr>
                      <w:rFonts w:ascii="仿宋_GB2312" w:hAnsi="仿宋_GB2312" w:cs="仿宋_GB2312" w:eastAsia="仿宋_GB2312"/>
                      <w:sz w:val="19"/>
                      <w:color w:val="000000"/>
                    </w:rPr>
                    <w:t xml:space="preserve"> 嵌入式LINUX操作系统，安全可靠、稳定高效，便于开发和维护</w:t>
                  </w:r>
                  <w:r>
                    <w:br/>
                  </w:r>
                  <w:r>
                    <w:rPr>
                      <w:rFonts w:ascii="仿宋_GB2312" w:hAnsi="仿宋_GB2312" w:cs="仿宋_GB2312" w:eastAsia="仿宋_GB2312"/>
                      <w:sz w:val="19"/>
                      <w:color w:val="000000"/>
                    </w:rPr>
                    <w:t xml:space="preserve"> 采用H.264/H.265视频压缩标准，支持双码流技术，可变码流，支持复合流和视频流编码，复合流编码时音频和视频同步</w:t>
                  </w:r>
                  <w:r>
                    <w:br/>
                  </w:r>
                  <w:r>
                    <w:rPr>
                      <w:rFonts w:ascii="仿宋_GB2312" w:hAnsi="仿宋_GB2312" w:cs="仿宋_GB2312" w:eastAsia="仿宋_GB2312"/>
                      <w:sz w:val="19"/>
                      <w:color w:val="000000"/>
                    </w:rPr>
                    <w:t xml:space="preserve"> 支持VGA、HDMI、DVI等常见视频信号接入编码</w:t>
                  </w:r>
                  <w:r>
                    <w:br/>
                  </w:r>
                  <w:r>
                    <w:rPr>
                      <w:rFonts w:ascii="仿宋_GB2312" w:hAnsi="仿宋_GB2312" w:cs="仿宋_GB2312" w:eastAsia="仿宋_GB2312"/>
                      <w:sz w:val="19"/>
                      <w:color w:val="000000"/>
                    </w:rPr>
                    <w:t xml:space="preserve"> 支持4K信号的采集和编码</w:t>
                  </w:r>
                  <w:r>
                    <w:br/>
                  </w:r>
                  <w:r>
                    <w:rPr>
                      <w:rFonts w:ascii="仿宋_GB2312" w:hAnsi="仿宋_GB2312" w:cs="仿宋_GB2312" w:eastAsia="仿宋_GB2312"/>
                      <w:sz w:val="19"/>
                      <w:color w:val="000000"/>
                    </w:rPr>
                    <w:t xml:space="preserve"> 最大支持200路1080p@60Hz高清编码输入/80路4K@30超清编码输入</w:t>
                  </w:r>
                  <w:r>
                    <w:br/>
                  </w:r>
                  <w:r>
                    <w:rPr>
                      <w:rFonts w:ascii="仿宋_GB2312" w:hAnsi="仿宋_GB2312" w:cs="仿宋_GB2312" w:eastAsia="仿宋_GB2312"/>
                      <w:sz w:val="19"/>
                      <w:color w:val="000000"/>
                    </w:rPr>
                    <w:t xml:space="preserve"> 最大支持满配180路高清HDMI信号输出，最大180块大屏拼接</w:t>
                  </w:r>
                  <w:r>
                    <w:br/>
                  </w:r>
                  <w:r>
                    <w:rPr>
                      <w:rFonts w:ascii="仿宋_GB2312" w:hAnsi="仿宋_GB2312" w:cs="仿宋_GB2312" w:eastAsia="仿宋_GB2312"/>
                      <w:sz w:val="19"/>
                      <w:color w:val="000000"/>
                    </w:rPr>
                    <w:t xml:space="preserve"> H.264/H.265解码：满配支持960路1080p@30fps高清视频解码能力</w:t>
                  </w:r>
                  <w:r>
                    <w:br/>
                  </w:r>
                  <w:r>
                    <w:rPr>
                      <w:rFonts w:ascii="仿宋_GB2312" w:hAnsi="仿宋_GB2312" w:cs="仿宋_GB2312" w:eastAsia="仿宋_GB2312"/>
                      <w:sz w:val="19"/>
                      <w:color w:val="000000"/>
                    </w:rPr>
                    <w:t xml:space="preserve"> ▲单板最大支持8路4K(4096 X 2160或3840 X 2160)和12路1080信号的采集和编码（提供公安部有效检测报告复印件加盖原厂公章或投标专用章）</w:t>
                  </w:r>
                  <w:r>
                    <w:br/>
                  </w:r>
                  <w:r>
                    <w:rPr>
                      <w:rFonts w:ascii="仿宋_GB2312" w:hAnsi="仿宋_GB2312" w:cs="仿宋_GB2312" w:eastAsia="仿宋_GB2312"/>
                      <w:sz w:val="19"/>
                      <w:color w:val="000000"/>
                    </w:rPr>
                    <w:t xml:space="preserve"> ▲支持电脑桌面或窗口、自定义区域采集后投屏，支持电脑桌面映像实时预览，并可反向控制桌面，实现远程控制。（提供公安部有效检测报告复印件加盖原厂公章或投标专用章）</w:t>
                  </w:r>
                  <w:r>
                    <w:br/>
                  </w:r>
                  <w:r>
                    <w:rPr>
                      <w:rFonts w:ascii="仿宋_GB2312" w:hAnsi="仿宋_GB2312" w:cs="仿宋_GB2312" w:eastAsia="仿宋_GB2312"/>
                      <w:sz w:val="19"/>
                      <w:color w:val="000000"/>
                    </w:rPr>
                    <w:t xml:space="preserve"> ▲支持实时展示前端设备推送的人脸比对结果，内容包含:人脸抓拍图、原始图、时间、相似度（提供公安部有效检测报告复印件加盖原厂公章或投标专用章）</w:t>
                  </w:r>
                  <w:r>
                    <w:br/>
                  </w:r>
                  <w:r>
                    <w:rPr>
                      <w:rFonts w:ascii="仿宋_GB2312" w:hAnsi="仿宋_GB2312" w:cs="仿宋_GB2312" w:eastAsia="仿宋_GB2312"/>
                      <w:sz w:val="19"/>
                      <w:color w:val="000000"/>
                    </w:rPr>
                    <w:t xml:space="preserve"> 支持视音频同步解码</w:t>
                  </w:r>
                  <w:r>
                    <w:br/>
                  </w:r>
                  <w:r>
                    <w:rPr>
                      <w:rFonts w:ascii="仿宋_GB2312" w:hAnsi="仿宋_GB2312" w:cs="仿宋_GB2312" w:eastAsia="仿宋_GB2312"/>
                      <w:sz w:val="19"/>
                      <w:color w:val="000000"/>
                    </w:rPr>
                    <w:t xml:space="preserve"> 支持32MP、16MP、12MP、8MP、5MP、3MP、1080p、720p、D1视频解码（32MP、16MP、12MP仅H.265支持）</w:t>
                  </w:r>
                  <w:r>
                    <w:br/>
                  </w:r>
                  <w:r>
                    <w:rPr>
                      <w:rFonts w:ascii="仿宋_GB2312" w:hAnsi="仿宋_GB2312" w:cs="仿宋_GB2312" w:eastAsia="仿宋_GB2312"/>
                      <w:sz w:val="19"/>
                      <w:color w:val="000000"/>
                    </w:rPr>
                    <w:t xml:space="preserve"> 支持H.265/H.264/SVAC/MPEG4/MJPEG视频标准</w:t>
                  </w:r>
                  <w:r>
                    <w:br/>
                  </w:r>
                  <w:r>
                    <w:rPr>
                      <w:rFonts w:ascii="仿宋_GB2312" w:hAnsi="仿宋_GB2312" w:cs="仿宋_GB2312" w:eastAsia="仿宋_GB2312"/>
                      <w:sz w:val="19"/>
                      <w:color w:val="000000"/>
                    </w:rPr>
                    <w:t xml:space="preserve"> 支持本地信号/网络信号的输入和矩阵输出</w:t>
                  </w:r>
                  <w:r>
                    <w:br/>
                  </w:r>
                  <w:r>
                    <w:rPr>
                      <w:rFonts w:ascii="仿宋_GB2312" w:hAnsi="仿宋_GB2312" w:cs="仿宋_GB2312" w:eastAsia="仿宋_GB2312"/>
                      <w:sz w:val="19"/>
                      <w:color w:val="000000"/>
                    </w:rPr>
                    <w:t xml:space="preserve"> 支持信号多路复制，同一路信号复制路数不少于32路</w:t>
                  </w:r>
                  <w:r>
                    <w:br/>
                  </w:r>
                  <w:r>
                    <w:rPr>
                      <w:rFonts w:ascii="仿宋_GB2312" w:hAnsi="仿宋_GB2312" w:cs="仿宋_GB2312" w:eastAsia="仿宋_GB2312"/>
                      <w:sz w:val="19"/>
                      <w:color w:val="000000"/>
                    </w:rPr>
                    <w:t xml:space="preserve"> 支持web浏览器、PC客户端、移动客户端、网络键盘等控制切换</w:t>
                  </w:r>
                  <w:r>
                    <w:br/>
                  </w:r>
                  <w:r>
                    <w:rPr>
                      <w:rFonts w:ascii="仿宋_GB2312" w:hAnsi="仿宋_GB2312" w:cs="仿宋_GB2312" w:eastAsia="仿宋_GB2312"/>
                      <w:sz w:val="19"/>
                      <w:color w:val="000000"/>
                    </w:rPr>
                    <w:t xml:space="preserve"> 支持拼接缩放/视频融合/漫游/开窗/层叠</w:t>
                  </w:r>
                  <w:r>
                    <w:br/>
                  </w:r>
                  <w:r>
                    <w:rPr>
                      <w:rFonts w:ascii="仿宋_GB2312" w:hAnsi="仿宋_GB2312" w:cs="仿宋_GB2312" w:eastAsia="仿宋_GB2312"/>
                      <w:sz w:val="19"/>
                      <w:color w:val="000000"/>
                    </w:rPr>
                    <w:t xml:space="preserve"> 支持1/4/6/8/9/16/25/36画面分割显示，支持自由分割</w:t>
                  </w:r>
                  <w:r>
                    <w:br/>
                  </w:r>
                  <w:r>
                    <w:rPr>
                      <w:rFonts w:ascii="仿宋_GB2312" w:hAnsi="仿宋_GB2312" w:cs="仿宋_GB2312" w:eastAsia="仿宋_GB2312"/>
                      <w:sz w:val="19"/>
                      <w:color w:val="000000"/>
                    </w:rPr>
                    <w:t xml:space="preserve"> 支持场景预设，用户可以自定义每个场景电视墙布局</w:t>
                  </w:r>
                  <w:r>
                    <w:br/>
                  </w:r>
                  <w:r>
                    <w:rPr>
                      <w:rFonts w:ascii="仿宋_GB2312" w:hAnsi="仿宋_GB2312" w:cs="仿宋_GB2312" w:eastAsia="仿宋_GB2312"/>
                      <w:sz w:val="19"/>
                      <w:color w:val="000000"/>
                    </w:rPr>
                    <w:t xml:space="preserve"> 支持点对点高清底图显示</w:t>
                  </w:r>
                  <w:r>
                    <w:br/>
                  </w:r>
                  <w:r>
                    <w:rPr>
                      <w:rFonts w:ascii="仿宋_GB2312" w:hAnsi="仿宋_GB2312" w:cs="仿宋_GB2312" w:eastAsia="仿宋_GB2312"/>
                      <w:sz w:val="19"/>
                      <w:color w:val="000000"/>
                    </w:rPr>
                    <w:t xml:space="preserve"> 支持字幕叠加功能，支持在单屏，拼接屏上虚拟出一段字符显示，文字字体、颜色、字符间距、背景色、速度可调节</w:t>
                  </w:r>
                  <w:r>
                    <w:br/>
                  </w:r>
                  <w:r>
                    <w:rPr>
                      <w:rFonts w:ascii="仿宋_GB2312" w:hAnsi="仿宋_GB2312" w:cs="仿宋_GB2312" w:eastAsia="仿宋_GB2312"/>
                      <w:sz w:val="19"/>
                      <w:color w:val="000000"/>
                    </w:rPr>
                    <w:t xml:space="preserve"> 支持≥ 8个RJ45接口，≥ 8个光口</w:t>
                  </w:r>
                  <w:r>
                    <w:br/>
                  </w:r>
                  <w:r>
                    <w:rPr>
                      <w:rFonts w:ascii="仿宋_GB2312" w:hAnsi="仿宋_GB2312" w:cs="仿宋_GB2312" w:eastAsia="仿宋_GB2312"/>
                      <w:sz w:val="19"/>
                      <w:color w:val="000000"/>
                    </w:rPr>
                    <w:t xml:space="preserve"> 支持容错、多址、链路聚合、负载均衡网络模式</w:t>
                  </w:r>
                  <w:r>
                    <w:br/>
                  </w:r>
                  <w:r>
                    <w:rPr>
                      <w:rFonts w:ascii="仿宋_GB2312" w:hAnsi="仿宋_GB2312" w:cs="仿宋_GB2312" w:eastAsia="仿宋_GB2312"/>
                      <w:sz w:val="19"/>
                      <w:color w:val="000000"/>
                    </w:rPr>
                    <w:t xml:space="preserve"> 支持RS232串口，用于矩阵的控制</w:t>
                  </w:r>
                  <w:r>
                    <w:br/>
                  </w:r>
                  <w:r>
                    <w:rPr>
                      <w:rFonts w:ascii="仿宋_GB2312" w:hAnsi="仿宋_GB2312" w:cs="仿宋_GB2312" w:eastAsia="仿宋_GB2312"/>
                      <w:sz w:val="19"/>
                      <w:color w:val="000000"/>
                    </w:rPr>
                    <w:t xml:space="preserve"> 支持TCP/IP协议，支持RTP/RTSP/RTCP/TCP/UDP/DHCP等网络协议</w:t>
                  </w:r>
                  <w:r>
                    <w:br/>
                  </w:r>
                  <w:r>
                    <w:rPr>
                      <w:rFonts w:ascii="仿宋_GB2312" w:hAnsi="仿宋_GB2312" w:cs="仿宋_GB2312" w:eastAsia="仿宋_GB2312"/>
                      <w:sz w:val="19"/>
                      <w:color w:val="000000"/>
                    </w:rPr>
                    <w:t xml:space="preserve"> 支持远程控制本地、网络视频切换上墙</w:t>
                  </w:r>
                  <w:r>
                    <w:br/>
                  </w:r>
                  <w:r>
                    <w:rPr>
                      <w:rFonts w:ascii="仿宋_GB2312" w:hAnsi="仿宋_GB2312" w:cs="仿宋_GB2312" w:eastAsia="仿宋_GB2312"/>
                      <w:sz w:val="19"/>
                      <w:color w:val="000000"/>
                    </w:rPr>
                    <w:t xml:space="preserve"> 支持远程重启、远程升级和恢复默认设置等操作</w:t>
                  </w:r>
                  <w:r>
                    <w:br/>
                  </w:r>
                  <w:r>
                    <w:rPr>
                      <w:rFonts w:ascii="仿宋_GB2312" w:hAnsi="仿宋_GB2312" w:cs="仿宋_GB2312" w:eastAsia="仿宋_GB2312"/>
                      <w:sz w:val="19"/>
                      <w:color w:val="000000"/>
                    </w:rPr>
                    <w:t xml:space="preserve"> 支持用户权限管理，支持白名单功能</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199"/>
              <w:gridCol w:w="405"/>
              <w:gridCol w:w="2133"/>
              <w:gridCol w:w="227"/>
              <w:gridCol w:w="227"/>
            </w:tblGrid>
            <w:tr>
              <w:tc>
                <w:tcPr>
                  <w:tcW w:type="dxa" w:w="199"/>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0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13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产品描述</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3191"/>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b/>
                      <w:color w:val="000000"/>
                    </w:rPr>
                    <w:t>四、大屏控制系统</w:t>
                  </w:r>
                </w:p>
              </w:tc>
            </w:tr>
            <w:tr>
              <w:tc>
                <w:tcPr>
                  <w:tcW w:type="dxa" w:w="1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视频综合管理输出板卡</w:t>
                  </w:r>
                </w:p>
              </w:tc>
              <w:tc>
                <w:tcPr>
                  <w:tcW w:type="dxa" w:w="2133"/>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视频输出：≥ 18路HDMI数字视频接口输出</w:t>
                  </w:r>
                  <w:r>
                    <w:br/>
                  </w:r>
                  <w:r>
                    <w:rPr>
                      <w:rFonts w:ascii="仿宋_GB2312" w:hAnsi="仿宋_GB2312" w:cs="仿宋_GB2312" w:eastAsia="仿宋_GB2312"/>
                      <w:sz w:val="19"/>
                      <w:color w:val="000000"/>
                    </w:rPr>
                    <w:t xml:space="preserve"> 支持4K输出显示；</w:t>
                  </w:r>
                  <w:r>
                    <w:br/>
                  </w:r>
                  <w:r>
                    <w:rPr>
                      <w:rFonts w:ascii="仿宋_GB2312" w:hAnsi="仿宋_GB2312" w:cs="仿宋_GB2312" w:eastAsia="仿宋_GB2312"/>
                      <w:sz w:val="19"/>
                      <w:color w:val="000000"/>
                    </w:rPr>
                    <w:t xml:space="preserve"> 音频输出：≥ 18路HDMI接口，音频内嵌，≥ 2个DB15可独立输出音频；</w:t>
                  </w:r>
                  <w:r>
                    <w:br/>
                  </w:r>
                  <w:r>
                    <w:rPr>
                      <w:rFonts w:ascii="仿宋_GB2312" w:hAnsi="仿宋_GB2312" w:cs="仿宋_GB2312" w:eastAsia="仿宋_GB2312"/>
                      <w:sz w:val="19"/>
                      <w:color w:val="000000"/>
                    </w:rPr>
                    <w:t xml:space="preserve"> 视频格式：H.264、H.265、MPEG4、SVAC、MJPEG；</w:t>
                  </w:r>
                  <w:r>
                    <w:br/>
                  </w:r>
                  <w:r>
                    <w:rPr>
                      <w:rFonts w:ascii="仿宋_GB2312" w:hAnsi="仿宋_GB2312" w:cs="仿宋_GB2312" w:eastAsia="仿宋_GB2312"/>
                      <w:sz w:val="19"/>
                      <w:color w:val="000000"/>
                    </w:rPr>
                    <w:t xml:space="preserve"> 非标解码：支持解码非标码流；</w:t>
                  </w:r>
                  <w:r>
                    <w:br/>
                  </w:r>
                  <w:r>
                    <w:rPr>
                      <w:rFonts w:ascii="仿宋_GB2312" w:hAnsi="仿宋_GB2312" w:cs="仿宋_GB2312" w:eastAsia="仿宋_GB2312"/>
                      <w:sz w:val="19"/>
                      <w:color w:val="000000"/>
                    </w:rPr>
                    <w:t xml:space="preserve"> 解码能力：支持≥ 24路4096X2160@25fps，≥ 24路3840×2160@30fps&amp;nbsp，≥ 96路1080p@30fps（H.264、H.265），≥ 192路720p@30fps，≥ 384路D1解码；</w:t>
                  </w:r>
                  <w:r>
                    <w:br/>
                  </w:r>
                  <w:r>
                    <w:rPr>
                      <w:rFonts w:ascii="仿宋_GB2312" w:hAnsi="仿宋_GB2312" w:cs="仿宋_GB2312" w:eastAsia="仿宋_GB2312"/>
                      <w:sz w:val="19"/>
                      <w:color w:val="000000"/>
                    </w:rPr>
                    <w:t xml:space="preserve"> 支持≥ 96路1080P的H.265解码</w:t>
                  </w:r>
                  <w:r>
                    <w:br/>
                  </w:r>
                  <w:r>
                    <w:rPr>
                      <w:rFonts w:ascii="仿宋_GB2312" w:hAnsi="仿宋_GB2312" w:cs="仿宋_GB2312" w:eastAsia="仿宋_GB2312"/>
                      <w:sz w:val="19"/>
                      <w:color w:val="000000"/>
                    </w:rPr>
                    <w:t xml:space="preserve"> 支持≥ 24路1080P的SVAC解码</w:t>
                  </w:r>
                  <w:r>
                    <w:br/>
                  </w:r>
                  <w:r>
                    <w:rPr>
                      <w:rFonts w:ascii="仿宋_GB2312" w:hAnsi="仿宋_GB2312" w:cs="仿宋_GB2312" w:eastAsia="仿宋_GB2312"/>
                      <w:sz w:val="19"/>
                      <w:color w:val="000000"/>
                    </w:rPr>
                    <w:t xml:space="preserve"> 支持≥ 72路非标D1码流解码</w:t>
                  </w:r>
                  <w:r>
                    <w:br/>
                  </w:r>
                  <w:r>
                    <w:rPr>
                      <w:rFonts w:ascii="仿宋_GB2312" w:hAnsi="仿宋_GB2312" w:cs="仿宋_GB2312" w:eastAsia="仿宋_GB2312"/>
                      <w:sz w:val="19"/>
                      <w:color w:val="000000"/>
                    </w:rPr>
                    <w:t xml:space="preserve"> 解码分辨率：1200W/800W/500W/300W/1080P/UXGA/720P/D1；</w:t>
                  </w:r>
                  <w:r>
                    <w:br/>
                  </w:r>
                  <w:r>
                    <w:rPr>
                      <w:rFonts w:ascii="仿宋_GB2312" w:hAnsi="仿宋_GB2312" w:cs="仿宋_GB2312" w:eastAsia="仿宋_GB2312"/>
                      <w:sz w:val="19"/>
                      <w:color w:val="000000"/>
                    </w:rPr>
                    <w:t xml:space="preserve"> 视频解码分辨率：4096×2160@24fps，3840×2160@30fps，1920×1080P@60fps，1280×1024P@60fps，1280×720P@60fps，1024×768P@60fps；</w:t>
                  </w:r>
                  <w:r>
                    <w:br/>
                  </w:r>
                  <w:r>
                    <w:rPr>
                      <w:rFonts w:ascii="仿宋_GB2312" w:hAnsi="仿宋_GB2312" w:cs="仿宋_GB2312" w:eastAsia="仿宋_GB2312"/>
                      <w:sz w:val="19"/>
                      <w:color w:val="000000"/>
                    </w:rPr>
                    <w:t xml:space="preserve"> 低速数据接口：≥ 2路RS485接口，≥ 4路报警输入接口，≥ 2路报警输出接口；</w:t>
                  </w:r>
                  <w:r>
                    <w:br/>
                  </w:r>
                  <w:r>
                    <w:rPr>
                      <w:rFonts w:ascii="仿宋_GB2312" w:hAnsi="仿宋_GB2312" w:cs="仿宋_GB2312" w:eastAsia="仿宋_GB2312"/>
                      <w:sz w:val="19"/>
                      <w:color w:val="000000"/>
                    </w:rPr>
                    <w:t xml:space="preserve"> 画面分割：</w:t>
                  </w:r>
                  <w:r>
                    <w:br/>
                  </w:r>
                  <w:r>
                    <w:rPr>
                      <w:rFonts w:ascii="仿宋_GB2312" w:hAnsi="仿宋_GB2312" w:cs="仿宋_GB2312" w:eastAsia="仿宋_GB2312"/>
                      <w:sz w:val="19"/>
                      <w:color w:val="000000"/>
                    </w:rPr>
                    <w:t xml:space="preserve"> 1/4/6/8/9/16/25/36画面分割，自由分割</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199"/>
              <w:gridCol w:w="405"/>
              <w:gridCol w:w="2133"/>
              <w:gridCol w:w="227"/>
              <w:gridCol w:w="227"/>
            </w:tblGrid>
            <w:tr>
              <w:tc>
                <w:tcPr>
                  <w:tcW w:type="dxa" w:w="199"/>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0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133"/>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产品描述</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27"/>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3191"/>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b/>
                      <w:color w:val="000000"/>
                    </w:rPr>
                    <w:t>四、大屏控制系统</w:t>
                  </w:r>
                </w:p>
              </w:tc>
            </w:tr>
            <w:tr>
              <w:tc>
                <w:tcPr>
                  <w:tcW w:type="dxa" w:w="1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0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视频综合管理输入板卡</w:t>
                  </w:r>
                </w:p>
              </w:tc>
              <w:tc>
                <w:tcPr>
                  <w:tcW w:type="dxa" w:w="2133"/>
                  <w:tcBorders>
                    <w:top w:val="single" w:color="000000" w:sz="4"/>
                    <w:left w:val="single" w:color="000000" w:sz="4"/>
                    <w:bottom w:val="single" w:color="000000" w:sz="4"/>
                    <w:right w:val="single" w:color="000000" w:sz="4"/>
                  </w:tcBorders>
                  <w:shd w:fill="FFFFFF"/>
                  <w:tcMar>
                    <w:top w:type="dxa" w:w="15"/>
                    <w:left w:type="dxa" w:w="15"/>
                    <w:right w:type="dxa" w:w="15"/>
                  </w:tcMar>
                  <w:vAlign w:val="top"/>
                </w:tcPr>
                <w:p>
                  <w:pPr>
                    <w:pStyle w:val="null3"/>
                    <w:jc w:val="left"/>
                  </w:pPr>
                  <w:r>
                    <w:rPr>
                      <w:rFonts w:ascii="仿宋_GB2312" w:hAnsi="仿宋_GB2312" w:cs="仿宋_GB2312" w:eastAsia="仿宋_GB2312"/>
                      <w:sz w:val="19"/>
                      <w:color w:val="000000"/>
                    </w:rPr>
                    <w:t>视频输入接口：DVI-I接口，标配转接头支持VGA；支持VGA、DVI、HDMI信号接入；</w:t>
                  </w:r>
                  <w:r>
                    <w:br/>
                  </w:r>
                  <w:r>
                    <w:rPr>
                      <w:rFonts w:ascii="仿宋_GB2312" w:hAnsi="仿宋_GB2312" w:cs="仿宋_GB2312" w:eastAsia="仿宋_GB2312"/>
                      <w:sz w:val="19"/>
                      <w:color w:val="000000"/>
                    </w:rPr>
                    <w:t xml:space="preserve"> 编码格式：H.264/MPEG4；</w:t>
                  </w:r>
                  <w:r>
                    <w:br/>
                  </w:r>
                  <w:r>
                    <w:rPr>
                      <w:rFonts w:ascii="仿宋_GB2312" w:hAnsi="仿宋_GB2312" w:cs="仿宋_GB2312" w:eastAsia="仿宋_GB2312"/>
                      <w:sz w:val="19"/>
                      <w:color w:val="000000"/>
                    </w:rPr>
                    <w:t xml:space="preserve"> 编码能力：单板≥8路1080P，支持1080P/720P/UXGA/SXGA+ /SXGA/XGA/SVGA/VGA分辨率，支持VGA、YPbPr逐行分量信号，支持RGBHV以及SOG信号,通过转接头支持HDMI；</w:t>
                  </w:r>
                  <w:r>
                    <w:br/>
                  </w:r>
                  <w:r>
                    <w:rPr>
                      <w:rFonts w:ascii="仿宋_GB2312" w:hAnsi="仿宋_GB2312" w:cs="仿宋_GB2312" w:eastAsia="仿宋_GB2312"/>
                      <w:sz w:val="19"/>
                      <w:color w:val="000000"/>
                    </w:rPr>
                    <w:t xml:space="preserve"> 音频输入接口：单板≥8路，DB26接口(2.0Vp-p，阻抗：1KΩ);</w:t>
                  </w:r>
                  <w:r>
                    <w:br/>
                  </w:r>
                  <w:r>
                    <w:rPr>
                      <w:rFonts w:ascii="仿宋_GB2312" w:hAnsi="仿宋_GB2312" w:cs="仿宋_GB2312" w:eastAsia="仿宋_GB2312"/>
                      <w:sz w:val="19"/>
                      <w:color w:val="000000"/>
                    </w:rPr>
                    <w:t xml:space="preserve"> 低速数据接口:≥2路RS485接口，支持主流球机云台协议</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合同签订后20日历天完成安装及调试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货到采购人指定地点并经验收（安装）合格及开取发票后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 设备到货后，依据采购文件要求对全部设备、产品、型号、规格、数量、外型、外观、包装及资料、文件进行验收。 1.2 拆箱后，应对其全部产品、零件、配件、用户许可证书、资料、介质造册登记，并与装箱单 对比，如有出入应立即书面记录，由中标供应商联络厂家解决，如影响安装则按合同有关条款处理。 1.3 验收按国家有关的规定、规范进行。如果合同设备运输和安装调试过程中因中标供应商原因发现设备有短缺、次品、损坏或其它不符合本合同规定或质量要求，中标供应商应在7个工作日内安排换货到指定地点，以保证合同设备成功完整交付。换货的全部费用由中标供应商承担，若超过合同期限的，应承担迟延履行的违约责任。 1.4合同设备到货、安装、验收合格后，采购人、用户单位出具书面确认材料视为合同设备已经交付。 2.项目初验 2.1 项目交货期内到货、安装调试，中标供应商必须依照采购文件的要求和响应文件的承诺，将设备:安装并调试至正常使用的最佳状态。 2.2 项目初验标准依次序对照适用标准为:①符合中华人民共和国国家安全质量标准、环保标准或行业标准; @符合采购文件和响应承诺中采购人认可的合理最佳配置、参数及各项要求 。2.3 设备安装调试完毕，完成采购文件及合同要求的所有采购内容，且达到采购要求后、采购人出具书面确认函，视为通过项 目初验。 3.整体验收要求 3.1 完成本项目安装试用后，由采购人组织项目的整体验收。3.2 要求对全部设备、产品、型号、规格、数量、外型、外观、包装及资料、文件(如 装箱单、保修单、随箱介质等》的验收。 3.3 中标供应商应根据所提交的验收方案和实施办法， 自行组织设备和人员，并在采购人监査下现场进行测试和验收。 3,4 中标供应商应负责在项目验收时将货物的全部有关产品说明书、安装手册、技术文件、资料及安装、验收报告等文档汇集成册交付采购人。 4、验收依据(1)合同文本及合同补充文件(条款);(2)产品的合法来源渠道证明文件、响应功能证明材料;(3)磋商文件; (4)中标人的响应文件; (5)货物清单。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设备质保期内（3年）厂家工程师根据采购人需要提供上门安装更换备机等技术支持服务。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(1)如果卖方未能在合同规定的期限内或买方根据规定同意延长的期限内提供部分或全部货物;或误期赔偿费达到最高限额。(2)如果卖方未能履行合同规定的其它任何义务。(3)如果买方认为卖方在本合同的竞争和实施过程中有腐败和欺诈行为。为此目的，定义下述条:“腐败行为”是指提供、给予、接受或索取任何有价值的物品来影响买方在采购过程或合同实施过程中的行为。“欺诈行为”是指为了影响采购过程或合同实施过程而谎报或隐瞒事实，损害买方利益的行为。因执行本合同所发生的或与本合同有关的一切争议,双方应通过友好协商解决。如果协商开始后六十(60)天还不能解决，双方可依以下一种方式解决:1、双方达成仲裁协议，向约定的仲裁委员会申请仲裁。 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中任意一年财务审计报告（至少包括资产负债表和利润表，成立时间至提交投标文件截止时间不足一年的可提供成立后任意时段的资产负债表），或提供投标截止时间前三个月内其基本开户银行出具的资信证明及基本账户开户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三年中任意一年财务审计报告（至少包括资产负债表和利润表，成立时间至提交投标文件截止时间不足一年的可提供成立后任意时段的资产负债表），或提供投标截止时间前三个月内其基本开户银行出具的资信证明及基本账户开户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提供响应文件递交截止时间前一年内任意一个月的缴费凭据（依法免税的供应商应提供相关文件证明）；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提供响应文件递交截止时间前一年内任意一个月的社保缴费凭据或社保机构开具的社会保险参保缴费情况证明（依法不需要缴纳社会保障资金的供应商应提供相关证明）；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法定代表人参与磋商时需提供法定代表人身份证复印件；被授权人参与磋商时需提供法定代表人授权委托书；</w:t>
            </w:r>
          </w:p>
        </w:tc>
        <w:tc>
          <w:tcPr>
            <w:tcW w:type="dxa" w:w="1661"/>
          </w:tcPr>
          <w:p>
            <w:pPr>
              <w:pStyle w:val="null3"/>
            </w:pPr>
            <w:r>
              <w:rPr>
                <w:rFonts w:ascii="仿宋_GB2312" w:hAnsi="仿宋_GB2312" w:cs="仿宋_GB2312" w:eastAsia="仿宋_GB2312"/>
              </w:rPr>
              <w:t>供应商应提交的相关资格证明材料.docx 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技术方案.docx 中小企业声明函 商务应答表 报价表 响应文件封面 产品技术参数表 分项报价表.docx 供应商应提交的相关资格证明材料.docx 法定代表人身份证明书.docx 残疾人福利性单位声明函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 ；（2）报价符合唯一性要求； （3）未超出采购预算或最高限价 ；（4）符合《报价表》、《分项报价明细表》及《标的清单》的填报要</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所投产品技术参数清楚、明确并能逐条响应采购文件。 “技术参数表”的所有标记为▲的参数完全满足采购要求并能提供证明材料得满分，每有1项不满足、有负偏离或未提供证明材料的扣1分，扣完为止。 证明材料：包括但不限于检验试验报告、测试报告、质量证明书、认证报告、官网截图或其他能证明该功能或技术参数符合性的文件扫描件加盖供应商公章。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货源渠道正规、供应充足，产地及制造商明确，产品销售记录可追溯。所投产品能够提供合格有效的授权文件，每个得1分，满分7分。未提供不得分。 证明材料：提供生产厂商出具的授权函（如为厂商参与投标的，须提供相关证明或承诺）原件扫描件并加盖供应商公章。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据本项目实际需求及特点，制定技术服务方案，内容包含①供货组织安排②供货进度计划③安装调试及验收方案④物力调配及保障措施。 方案响应高效、服务标准和服务承诺明确具体，方案科学合理详细，针对性强，服务标准严格、服务响应高效、流程清晰易行，服务措施完善，可操作性强得13～18分；方案基本合理，服务标准尚且规范、服务响应尚可接受、服务流程较清楚，有一定针对性和可操作性 得7～12分；无针对性、语焉不详，可操作性差得0～6分。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售后服务：包括但不限于拟投入售后服务人员配置情况 、项目交付用户后出现问题响应时间及措施、质量保证范围以及相关后期服务承诺等方面</w:t>
            </w:r>
          </w:p>
        </w:tc>
        <w:tc>
          <w:tcPr>
            <w:tcW w:type="dxa" w:w="2492"/>
          </w:tcPr>
          <w:p>
            <w:pPr>
              <w:pStyle w:val="null3"/>
            </w:pPr>
            <w:r>
              <w:rPr>
                <w:rFonts w:ascii="仿宋_GB2312" w:hAnsi="仿宋_GB2312" w:cs="仿宋_GB2312" w:eastAsia="仿宋_GB2312"/>
              </w:rPr>
              <w:t>1、售后服务方案内容具体、完整、详细、全面的计 5～6分；2、售后服务方案内容欠缺、薄弱的计3～4 分；3、售后服务方案内容有严重欠缺、薄弱的计0～2分。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应急处理：供应商针对本项目提供故障突发事件的处理方案以及故障响应的时效性保证措施</w:t>
            </w:r>
          </w:p>
        </w:tc>
        <w:tc>
          <w:tcPr>
            <w:tcW w:type="dxa" w:w="2492"/>
          </w:tcPr>
          <w:p>
            <w:pPr>
              <w:pStyle w:val="null3"/>
            </w:pPr>
            <w:r>
              <w:rPr>
                <w:rFonts w:ascii="仿宋_GB2312" w:hAnsi="仿宋_GB2312" w:cs="仿宋_GB2312" w:eastAsia="仿宋_GB2312"/>
              </w:rPr>
              <w:t>1、方案内容完整、全面、详细的计5～6分；2、方案内容有欠缺、较薄弱的计3～4分；3、方案内容有严 重欠缺、薄弱的计0～2分。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培训方案：包括但不限于培训计划、 方式 、时间、地点、人员 、提供使用方法等专业的 技术咨询和指导等方面</w:t>
            </w:r>
          </w:p>
        </w:tc>
        <w:tc>
          <w:tcPr>
            <w:tcW w:type="dxa" w:w="2492"/>
          </w:tcPr>
          <w:p>
            <w:pPr>
              <w:pStyle w:val="null3"/>
            </w:pPr>
            <w:r>
              <w:rPr>
                <w:rFonts w:ascii="仿宋_GB2312" w:hAnsi="仿宋_GB2312" w:cs="仿宋_GB2312" w:eastAsia="仿宋_GB2312"/>
              </w:rPr>
              <w:t>1、培训方案内容具体、完整、详细、全面的计5～6分；2、培训方案内容欠缺、薄弱的计3～4分；3、培 训方案内容有严重欠缺、薄弱的计0～2分。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人员配备：投入本项目人员，团队分工明确，配置齐全</w:t>
            </w:r>
          </w:p>
        </w:tc>
        <w:tc>
          <w:tcPr>
            <w:tcW w:type="dxa" w:w="2492"/>
          </w:tcPr>
          <w:p>
            <w:pPr>
              <w:pStyle w:val="null3"/>
            </w:pPr>
            <w:r>
              <w:rPr>
                <w:rFonts w:ascii="仿宋_GB2312" w:hAnsi="仿宋_GB2312" w:cs="仿宋_GB2312" w:eastAsia="仿宋_GB2312"/>
              </w:rPr>
              <w:t>有专业的服务团队和技术人员支持（以投标文件中供应商人员情况表为依据）。并提供人员资格证书并加盖供应商红章。 项目团队人员综合实力强，服务团队配备合理、专业性强得4～6分； 项目团队人员综合实力一般，服务团队配备合理性一般、专业性一般得2～4分。 项目团队人员配备不合理或无专业性，未提供养老保险证明或提供的养老保险证明不符合要求得0～2分。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以合同或成交通知书的形式提供供应商近三年同类业绩，每一份计2分，计满6分为止。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有效供应商的（落实政府采购政策进行价格调整的，以调整后的价格计算）最终报价的最低值为基准价得 30 分，其他各供应商的最终报价得分按下列公式计算：（基准价/最终报价）×30％×100。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