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版本号：中金咨审[2025]-0211号20251010002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土地执法卫片核查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中金咨审[2025]-0211号</w:t>
      </w:r>
      <w:r>
        <w:br/>
      </w:r>
      <w:r>
        <w:br/>
      </w:r>
      <w:r>
        <w:br/>
      </w:r>
    </w:p>
    <w:p>
      <w:pPr>
        <w:pStyle w:val="null3"/>
        <w:jc w:val="center"/>
        <w:outlineLvl w:val="2"/>
      </w:pPr>
      <w:r>
        <w:rPr>
          <w:rFonts w:ascii="仿宋_GB2312" w:hAnsi="仿宋_GB2312" w:cs="仿宋_GB2312" w:eastAsia="仿宋_GB2312"/>
          <w:sz w:val="28"/>
          <w:b/>
        </w:rPr>
        <w:t>铜川市自然资源局</w:t>
      </w:r>
    </w:p>
    <w:p>
      <w:pPr>
        <w:pStyle w:val="null3"/>
        <w:jc w:val="center"/>
        <w:outlineLvl w:val="2"/>
      </w:pPr>
      <w:r>
        <w:rPr>
          <w:rFonts w:ascii="仿宋_GB2312" w:hAnsi="仿宋_GB2312" w:cs="仿宋_GB2312" w:eastAsia="仿宋_GB2312"/>
          <w:sz w:val="28"/>
          <w:b/>
        </w:rPr>
        <w:t>中金国际项目管理有限公司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中金国际项目管理有限公司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铜川市自然资源局</w:t>
      </w:r>
      <w:r>
        <w:rPr>
          <w:rFonts w:ascii="仿宋_GB2312" w:hAnsi="仿宋_GB2312" w:cs="仿宋_GB2312" w:eastAsia="仿宋_GB2312"/>
        </w:rPr>
        <w:t>委托，拟对</w:t>
      </w:r>
      <w:r>
        <w:rPr>
          <w:rFonts w:ascii="仿宋_GB2312" w:hAnsi="仿宋_GB2312" w:cs="仿宋_GB2312" w:eastAsia="仿宋_GB2312"/>
        </w:rPr>
        <w:t>土地执法卫片核查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中金咨审[2025]-0211号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土地执法卫片核查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自然资源厅从2025年4月开始，上半年每月15日、25日，下半年每月5日、15日、25日下发大量的土地卫片执法日常监测图班，截至目前，已下发图斑663个，按照“月清、月核”模式开展，市级需要开展数据审核、上报、督导检查、成果分析等工作，对精准发现问题并有针对性的提出整改意见和措施，积极推动问题整改具有决定性作用。土地卫片核查涉及到遥感影像、地理信息系统分析等专业技术领域，需要具备专业知识和技能的资质机构进行。要求供应商能够准确识别土地利用变化情况，及时发现违法用地行为提高土地卫片核查的效率和精度，推进历史卫片违法图斑整改工作，准确核实、研判2025年度卫片工作，为执法工作提供有力支持，增强土地资源管理的科学性和信息化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采购包1（铜川市自然资源局关于土地执法卫片核查技术服务项目）：属于专门面向中小企业采购。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1、有效的主体资格证明：合格有效的营业执照副本/事业单位法人证书副本/非企业专业服务机构执业许可证副本/ 民办非企业单位登记证书、税务登记证副本、组织机构代码证副本（或多证合一营业执照副 本）原件或复印件加盖供应商公章。</w:t>
      </w:r>
    </w:p>
    <w:p>
      <w:pPr>
        <w:pStyle w:val="null3"/>
      </w:pPr>
      <w:r>
        <w:rPr>
          <w:rFonts w:ascii="仿宋_GB2312" w:hAnsi="仿宋_GB2312" w:cs="仿宋_GB2312" w:eastAsia="仿宋_GB2312"/>
        </w:rPr>
        <w:t>2、资质证书：供应商应具有行政主管部门颁发的测绘乙级（含乙级）及以上测绘资质，项目负责人需具备相关专业中级（含中级）及以上职称。</w:t>
      </w:r>
    </w:p>
    <w:p>
      <w:pPr>
        <w:pStyle w:val="null3"/>
      </w:pPr>
      <w:r>
        <w:rPr>
          <w:rFonts w:ascii="仿宋_GB2312" w:hAnsi="仿宋_GB2312" w:cs="仿宋_GB2312" w:eastAsia="仿宋_GB2312"/>
        </w:rPr>
        <w:t>3、法定代表人授权委托书：法定代表人参加磋商时，提供本人身份证复印件；授权代表参加磋商时，提供法定代表人授权委托书、法定代表人和被授权人身份证复 印件；</w:t>
      </w:r>
    </w:p>
    <w:p>
      <w:pPr>
        <w:pStyle w:val="null3"/>
      </w:pPr>
      <w:r>
        <w:rPr>
          <w:rFonts w:ascii="仿宋_GB2312" w:hAnsi="仿宋_GB2312" w:cs="仿宋_GB2312" w:eastAsia="仿宋_GB2312"/>
        </w:rPr>
        <w:t>4、财务状况报告：财务状况报告(原件或复印件加盖供应商公章):近三年来任意一年度审计报告(至少应包含资产负债表、利润表和现金流量表)或2024年度任意连续3个月的财务报表(至少应包含资产负债表、利润表和现金流量表)或银行出具的资信证明。(成立时间至提交磋商文件截止时间不足6个月的提供公司财务会计制度并加盖供应商公 章即可)。</w:t>
      </w:r>
    </w:p>
    <w:p>
      <w:pPr>
        <w:pStyle w:val="null3"/>
      </w:pPr>
      <w:r>
        <w:rPr>
          <w:rFonts w:ascii="仿宋_GB2312" w:hAnsi="仿宋_GB2312" w:cs="仿宋_GB2312" w:eastAsia="仿宋_GB2312"/>
        </w:rPr>
        <w:t>5、社会保障资金缴纳证明：社会保障资金缴纳证明（原件或复印件加盖供应商公章）：自2024年1月1日以来已缴存的至少3个月的社会保障资金缴存单据或社保机构开具的社会保险参保缴费情况证明，单据或证明上应有社保机构或代收机构的印章。依法不需要缴纳社会保障资金的供应商应提供相关文 件证明,成立不足3个月的据实提供。</w:t>
      </w:r>
    </w:p>
    <w:p>
      <w:pPr>
        <w:pStyle w:val="null3"/>
      </w:pPr>
      <w:r>
        <w:rPr>
          <w:rFonts w:ascii="仿宋_GB2312" w:hAnsi="仿宋_GB2312" w:cs="仿宋_GB2312" w:eastAsia="仿宋_GB2312"/>
        </w:rPr>
        <w:t>6、税收缴纳证明：税收缴纳证明（原件或复印件加盖供应商公章）:自2024年1月1日以来不少于3个月的纳税证明或完税证明（提供增值税、企业所得税至少一种），纳税证明或完税证明上应有代收机构或税务机关的公章或业务专用章(依法免税的 供应商应提供相关文件证明)。</w:t>
      </w:r>
    </w:p>
    <w:p>
      <w:pPr>
        <w:pStyle w:val="null3"/>
      </w:pPr>
      <w:r>
        <w:rPr>
          <w:rFonts w:ascii="仿宋_GB2312" w:hAnsi="仿宋_GB2312" w:cs="仿宋_GB2312" w:eastAsia="仿宋_GB2312"/>
        </w:rPr>
        <w:t>7、主体信用查询记录：供应商未被列入信用中国网站(www.creditc hina.gov.cn)“失信被执行人、重大税收违法失信主体”；不处于中国政府采购网(www.ccg p.gov.cn)“政府采购严重违法失信行为信息记 录”中的禁止参加政府采购活动期间。</w:t>
      </w:r>
    </w:p>
    <w:p>
      <w:pPr>
        <w:pStyle w:val="null3"/>
      </w:pPr>
      <w:r>
        <w:rPr>
          <w:rFonts w:ascii="仿宋_GB2312" w:hAnsi="仿宋_GB2312" w:cs="仿宋_GB2312" w:eastAsia="仿宋_GB2312"/>
        </w:rPr>
        <w:t>8、无重大违法记录的书面声明：参加政府采购活动前三年内，在经营活动中没有重大违法记录的书面声明；</w:t>
      </w:r>
    </w:p>
    <w:p>
      <w:pPr>
        <w:pStyle w:val="null3"/>
      </w:pPr>
      <w:r>
        <w:rPr>
          <w:rFonts w:ascii="仿宋_GB2312" w:hAnsi="仿宋_GB2312" w:cs="仿宋_GB2312" w:eastAsia="仿宋_GB2312"/>
        </w:rPr>
        <w:t>9、设备和专业技术能力的书面声明：具有履行合同所必需的设备和专业技术能力的书面声明；</w:t>
      </w:r>
    </w:p>
    <w:p>
      <w:pPr>
        <w:pStyle w:val="null3"/>
      </w:pPr>
      <w:r>
        <w:rPr>
          <w:rFonts w:ascii="仿宋_GB2312" w:hAnsi="仿宋_GB2312" w:cs="仿宋_GB2312" w:eastAsia="仿宋_GB2312"/>
        </w:rPr>
        <w:t>10、中小企业声明函：本项目专门面向中小企业采购，供应商需提供《中小企业声明函》；</w:t>
      </w:r>
    </w:p>
    <w:p>
      <w:pPr>
        <w:pStyle w:val="null3"/>
      </w:pPr>
      <w:r>
        <w:rPr>
          <w:rFonts w:ascii="仿宋_GB2312" w:hAnsi="仿宋_GB2312" w:cs="仿宋_GB2312" w:eastAsia="仿宋_GB2312"/>
        </w:rPr>
        <w:t>11、非联合体声明：本项目不接受联合体磋商。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新区正阳路9号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15129198601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西安市雁塔区雁翔路旺座曲江E座13层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15029573469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单位在领取中标通知书前，须向采购代理机构一次性支付招标代理服务费，招标代理服务费参照国家计委关于《招标代理服务收费管理暂行办法》（计价格[2002]1980号）、《国家发展改革委关于降低部分建设项目收费标准规范收费行为等有关问题的通知》（发改价格[2015]299号）的规定计取招标代理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铜川市自然资源局</w:t>
      </w:r>
      <w:r>
        <w:rPr>
          <w:rFonts w:ascii="仿宋_GB2312" w:hAnsi="仿宋_GB2312" w:cs="仿宋_GB2312" w:eastAsia="仿宋_GB2312"/>
        </w:rPr>
        <w:t>和</w:t>
      </w:r>
      <w:r>
        <w:rPr>
          <w:rFonts w:ascii="仿宋_GB2312" w:hAnsi="仿宋_GB2312" w:cs="仿宋_GB2312" w:eastAsia="仿宋_GB2312"/>
        </w:rPr>
        <w:t>中金国际项目管理有限公司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中金国际项目管理有限公司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中金国际项目管理有限公司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中金国际项目管理有限公司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联系电话：15029573469</w:t>
      </w:r>
    </w:p>
    <w:p>
      <w:pPr>
        <w:pStyle w:val="null3"/>
      </w:pPr>
      <w:r>
        <w:rPr>
          <w:rFonts w:ascii="仿宋_GB2312" w:hAnsi="仿宋_GB2312" w:cs="仿宋_GB2312" w:eastAsia="仿宋_GB2312"/>
        </w:rPr>
        <w:t>地址：西安市雁塔区雁翔路旺座曲江E座13层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自然资源厅从2025年4月开始，上半年每月15日、25日，下半年每月5日、15日、25日下发大量的土地卫片执法日常监测图班，截至目前，已下发图斑663个，按照“月清、月核”模式开展，市级需要开展数据审核、上报、督导检查、成果分析等工作，对精准发现问题并有针对性的提出整改意见和措施，积极推动问题整改具有决定性作用。土地卫片核查涉及到遥感影像、地理信息系统分析等专业技术领域，需要具备专业知识和技能的资质机构进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480000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标的名称：480000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after="330"/>
              <w:jc w:val="both"/>
            </w:pPr>
            <w:r>
              <w:rPr>
                <w:rFonts w:ascii="仿宋_GB2312" w:hAnsi="仿宋_GB2312" w:cs="仿宋_GB2312" w:eastAsia="仿宋_GB2312"/>
                <w:sz w:val="24"/>
                <w:shd w:fill="FFFFFF" w:val="clear"/>
              </w:rPr>
              <w:t>按照</w:t>
            </w:r>
            <w:r>
              <w:rPr>
                <w:rFonts w:ascii="仿宋_GB2312" w:hAnsi="仿宋_GB2312" w:cs="仿宋_GB2312" w:eastAsia="仿宋_GB2312"/>
                <w:sz w:val="24"/>
                <w:shd w:fill="FFFFFF" w:val="clear"/>
              </w:rPr>
              <w:t>“月清”要求对全市范围内的卫星遥感影像进行外业核查，并将核查结果录入卫片执法系统；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shd w:fill="FFFFFF" w:val="clear"/>
              </w:rPr>
              <w:t>准确开展合法性判定，根据矢量数据，将图斑信息同现状图、规划图、建设用地审批监管备案系统（包括临时用地、设施农用地等管理信息）进行套合，按照《自然资源部办公厅关于明确土地卫片执法地类套合统计规则的通知》《土地卫片执法图斑合法性判定规则（</w:t>
            </w:r>
            <w:r>
              <w:rPr>
                <w:rFonts w:ascii="仿宋_GB2312" w:hAnsi="仿宋_GB2312" w:cs="仿宋_GB2312" w:eastAsia="仿宋_GB2312"/>
                <w:sz w:val="24"/>
                <w:shd w:fill="FFFFFF" w:val="clear"/>
              </w:rPr>
              <w:t>2023年修订）》等依据准确判定图斑合法性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75" w:after="330"/>
              <w:jc w:val="both"/>
            </w:pPr>
            <w:r>
              <w:rPr>
                <w:rFonts w:ascii="仿宋_GB2312" w:hAnsi="仿宋_GB2312" w:cs="仿宋_GB2312" w:eastAsia="仿宋_GB2312"/>
                <w:sz w:val="24"/>
                <w:shd w:fill="FFFFFF" w:val="clear"/>
              </w:rPr>
              <w:t>对确定的违法用地进行勘界，明确整改范围，为历史遗留图斑、</w:t>
            </w:r>
            <w:r>
              <w:rPr>
                <w:rFonts w:ascii="仿宋_GB2312" w:hAnsi="仿宋_GB2312" w:cs="仿宋_GB2312" w:eastAsia="仿宋_GB2312"/>
                <w:sz w:val="24"/>
                <w:shd w:fill="FFFFFF" w:val="clear"/>
              </w:rPr>
              <w:t>2025年度新增违法图斑拆除复耕、补办手续提供技术支撑</w:t>
            </w:r>
            <w:r>
              <w:rPr>
                <w:rFonts w:ascii="仿宋_GB2312" w:hAnsi="仿宋_GB2312" w:cs="仿宋_GB2312" w:eastAsia="仿宋_GB2312"/>
                <w:sz w:val="24"/>
                <w:shd w:fill="FFFFFF" w:val="clear"/>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1.项目负责人1人： 2.项目实施人员4人及以上。</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60日历天（2025年12月30日前完成）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交付后，由乙方准备项目相关资料，并提出验收申请，甲方在收到乙方提交的验收申请及相关资料后，15天内组织相关人员对项目实施验收，验收通过后，出具验收合格书，如验收不合格，乙方应在20天内完成整改，并重新提交验收申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项目成果验收合格后，一次性结算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1、依据《中华人民共和国民法典》的相关条款，乙方未全面履行合同义务或者发生违约，甲方有权终止合同，依法向乙方要求经济索赔。甲方违约的，应当赔偿给乙方造成的经济损失。 2、甲方应根据乙方的要求，及时提供有关资料。如因资料不全或提供不及时或因天气等其他不可抗力因素造成成果延误，乙方成果提交时间向后顺延，不承担违约责 任。如因甲方提交的材料不全或质量问题，导致上级业务部门检查验收未能审批通过， 或因甲方延期提供资料后导致成果不能及时整理提交的，责任由甲方自行承担。乙方 已收取的服务费不再退还。 3、乙方提供的成果达不到国家或行业标准，造成甲方损失的，乙方应当给予相应的赔偿。 4、本合同的变更必须由双方协商一致，并以书面形式确定。因政府原因，导致本项目出现重大变化，或因甲方任务来源发生变化导致本合同无法履行的，甲方应及时通知乙方停止履行合同，甲方应根据乙方已完成本项目投入的成本、工作量、进度等给乙方结算有关费用。 本协议的未尽事宜，双方应协商解决，或另行签定补充协议。双方在履行本协议过程中发生的争议，应通过协商解决，协商不成的，可提交甲方注册所在地仲裁机构仲裁，对仲裁不服的，可向甲方注册所在地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合格有效的营业执照副本/事业单位法人证书副本/非企业专业服务机构执业许可证副本/ 民办非企业单位登记证书、税务登记证副本、组织机构代码证副本（或多证合一营业执照副 本）原件或复印件加盖供应商公章。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供应商应具有行政主管部门颁发的测绘乙级（含乙级）及以上测绘资质，项目负责人需具备相关专业中级（含中级）及以上职称。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法定代表人参加磋商时，提供本人身份证复印件；授权代表参加磋商时，提供法定代表人授权委托书、法定代表人和被授权人身份证复 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原件或复印件加盖供应商公章):近三年来任意一年度审计报告(至少应包含资产负债表、利润表和现金流量表)或2024年度任意连续3个月的财务报表(至少应包含资产负债表、利润表和现金流量表)或银行出具的资信证明。(成立时间至提交磋商文件截止时间不足6个月的提供公司财务会计制度并加盖供应商公 章即可)。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原件或复印件加盖供应商公章）：自2024年1月1日以来已缴存的至少3个月的社会保障资金缴存单据或社保机构开具的社会保险参保缴费情况证明，单据或证明上应有社保机构或代收机构的印章。依法不需要缴纳社会保障资金的供应商应提供相关文 件证明,成立不足3个月的据实提供。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原件或复印件加盖供应商公章）:自2024年1月1日以来不少于3个月的纳税证明或完税证明（提供增值税、企业所得税至少一种），纳税证明或完税证明上应有代收机构或税务机关的公章或业务专用章(依法免税的 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主体信用查询记录</w:t>
            </w:r>
          </w:p>
        </w:tc>
        <w:tc>
          <w:tcPr>
            <w:tcW w:type="dxa" w:w="3322"/>
          </w:tcPr>
          <w:p>
            <w:pPr>
              <w:pStyle w:val="null3"/>
            </w:pPr>
            <w:r>
              <w:rPr>
                <w:rFonts w:ascii="仿宋_GB2312" w:hAnsi="仿宋_GB2312" w:cs="仿宋_GB2312" w:eastAsia="仿宋_GB2312"/>
              </w:rPr>
              <w:t>供应商未被列入信用中国网站(www.creditc hina.gov.cn)“失信被执行人、重大税收违法失信主体”；不处于中国政府采购网(www.ccg p.gov.cn)“政府采购严重违法失信行为信息记 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本项目专门面向中小企业采购，供应商需提供《中小企业声明函》；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磋商文件格式.pdf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文件要求</w:t>
            </w:r>
          </w:p>
        </w:tc>
        <w:tc>
          <w:tcPr>
            <w:tcW w:type="dxa" w:w="3322"/>
          </w:tcPr>
          <w:p>
            <w:pPr>
              <w:pStyle w:val="null3"/>
            </w:pPr>
            <w:r>
              <w:rPr>
                <w:rFonts w:ascii="仿宋_GB2312" w:hAnsi="仿宋_GB2312" w:cs="仿宋_GB2312" w:eastAsia="仿宋_GB2312"/>
              </w:rPr>
              <w:t>提供的资质证明文件是否符合国家法律法规和磋商文件的要 求，并且齐全、真实、有效；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磋商响应文件是否按照磋商文件要求的格式编写；</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磋商文件格式.pdf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磋商文件格式.pdf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磋商报价是否具有唯一性、是否未超过采购预算；</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①对工作内容、对象、范围、时间节点的总体理解与认识，磋商小组成员根据其响应情况赋0-12分。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②针对本项目提出详细可行的技术方案，对技术路线、工作流程、人力资源投入、仪器设备投入等内容完整性和齐全性进行比较， 技术方案完整详细，科学可行的赋20-30分； 技术方案较为完整，可行性较高的赋10-20分； 技术方案一般，总体较差的赋0-10分。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③重点难点分析及应对措施，磋商小组成员根据响应情况进行赋分。 重难点理解到位、应对措施合理可行，得3-5分； 重难点理解基本到位、应对措施较为合理可行，得2-3分； 重难点理解不到位、应对措施较差，得1-2分。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④质量保证措施及工作进度安排，磋商小组成员根据响应情况进行赋分。 质量保证措施详细具体、工作进度安排科学合理得6-8分； 质量保证措施较为详细、工作进度安排较为合理得4-6分； 质量保证措施较差、工作进度安排不合理得0-4分。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⑤投标人拟派项目管理和实施人员中： 1.项目负责人具有测绘或测量相关专业中级及以上技术职称得5分，不满足不得分。 2.项目实施人员中(不包含项目负责人)具有测绘或规划相关专业中级及以上职称4人(含)以上的得5分，3人以下得2分，少于1人不得分。注:须同时提供以上人员近半年内任一个月投标单位为其缴纳的社保缴费凭证，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1.2022年至今投标人承担过卫片执法类项目业绩，一个2.5分，满分5分； 2.2022年至今投标人承担过土地资源调查类或者航测类项目业绩，一个2.5分，满分10分。 注：投标文件中提供以上合同或者中标通知书加盖公章的复印件，否则不得分。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售后服务及培训</w:t>
            </w:r>
          </w:p>
        </w:tc>
        <w:tc>
          <w:tcPr>
            <w:tcW w:type="dxa" w:w="2492"/>
          </w:tcPr>
          <w:p>
            <w:pPr>
              <w:pStyle w:val="null3"/>
            </w:pPr>
            <w:r>
              <w:rPr>
                <w:rFonts w:ascii="仿宋_GB2312" w:hAnsi="仿宋_GB2312" w:cs="仿宋_GB2312" w:eastAsia="仿宋_GB2312"/>
              </w:rPr>
              <w:t>提供详细的售后服务方案及售后服务承诺等，按其响应程度打分。 方案切实可行、针对性强、服务响应高效，服务承诺明确，标准高，得3-5分； 方案合理可行、具有一定针对性、服务响应较为高效，服务标准较高，得2-3分； 方案笼统、响应欠缺高效，服务标准模糊，或无本项方案，得0-2分。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2.满足磋商文件实质性要求且最终报价最低的供应商的价格为磋商基准价，其价格分为满分15分。 3.磋商报价得分=（磋商基准价/最终磋商报价）×15的公式计算得分。 4. 磋商报价不完整的，不进入评标标准价的计算，本项得0分。 5.经磋商小组一致认定，供应商的磋商最终总报价低于公认市场成本，或超过采购预算,其响应将被拒绝。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详见附件：磋商文件格式.pdf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