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版本号：ZSZB2025-08-0120250930002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铜川市重点用车企业环保门禁监管平台建设项目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ZSZB2025-08-01</w:t>
      </w:r>
      <w:r>
        <w:br/>
      </w:r>
      <w:r>
        <w:br/>
      </w:r>
      <w:r>
        <w:br/>
      </w:r>
    </w:p>
    <w:p>
      <w:pPr>
        <w:pStyle w:val="null3"/>
        <w:jc w:val="center"/>
        <w:outlineLvl w:val="2"/>
      </w:pPr>
      <w:r>
        <w:rPr>
          <w:rFonts w:ascii="仿宋_GB2312" w:hAnsi="仿宋_GB2312" w:cs="仿宋_GB2312" w:eastAsia="仿宋_GB2312"/>
          <w:sz w:val="28"/>
          <w:b/>
        </w:rPr>
        <w:t>铜川市环境监测站</w:t>
      </w:r>
    </w:p>
    <w:p>
      <w:pPr>
        <w:pStyle w:val="null3"/>
        <w:jc w:val="center"/>
        <w:outlineLvl w:val="2"/>
      </w:pPr>
      <w:r>
        <w:rPr>
          <w:rFonts w:ascii="仿宋_GB2312" w:hAnsi="仿宋_GB2312" w:cs="仿宋_GB2312" w:eastAsia="仿宋_GB2312"/>
          <w:sz w:val="28"/>
          <w:b/>
        </w:rPr>
        <w:t>陕西中肆工程项目管理有限公司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陕西中肆工程项目管理有限公司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铜川市环境监测站</w:t>
      </w:r>
      <w:r>
        <w:rPr>
          <w:rFonts w:ascii="仿宋_GB2312" w:hAnsi="仿宋_GB2312" w:cs="仿宋_GB2312" w:eastAsia="仿宋_GB2312"/>
        </w:rPr>
        <w:t>委托，拟对</w:t>
      </w:r>
      <w:r>
        <w:rPr>
          <w:rFonts w:ascii="仿宋_GB2312" w:hAnsi="仿宋_GB2312" w:cs="仿宋_GB2312" w:eastAsia="仿宋_GB2312"/>
        </w:rPr>
        <w:t>铜川市重点用车企业环保门禁监管平台建设项目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ZSZB2025-08-01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铜川市重点用车企业环保门禁监管平台建设项目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①采购内容:建设铜川市重点用车企业环保门禁监管平台。②主要功能或目标:铜川市重点用车企业环保门禁监管平台，对重点用车企业车辆运行情况实施管理。③需满足的要求:环保门禁监管平台需符合生态环境部及陕西省生态环境厅相关技术规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采购包1（铜川市重点用车企业环保门禁监管平台建设项目）：属于专门面向中小企业采购。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p>
      <w:pPr>
        <w:pStyle w:val="null3"/>
      </w:pPr>
      <w:r>
        <w:rPr>
          <w:rFonts w:ascii="仿宋_GB2312" w:hAnsi="仿宋_GB2312" w:cs="仿宋_GB2312" w:eastAsia="仿宋_GB2312"/>
        </w:rPr>
        <w:t>2、法定代表人或单位负责人授权书：法定代表人参加投标须提供《法定代表人身份 证明》及身份证复印件；法定代表人授权他人 参加投标，须提供《法定代表人授权委托书》 、委托代理人身份证复印件；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 需提供《铜川市政府采购供应 商资格承诺函》；</w:t>
      </w:r>
    </w:p>
    <w:p>
      <w:pPr>
        <w:pStyle w:val="null3"/>
      </w:pPr>
      <w:r>
        <w:rPr>
          <w:rFonts w:ascii="仿宋_GB2312" w:hAnsi="仿宋_GB2312" w:cs="仿宋_GB2312" w:eastAsia="仿宋_GB2312"/>
        </w:rPr>
        <w:t>4、是否接受联合体投标：本项目不接受联合体投标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铜川市环境监测站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铜川市新区齐庆路4号铜川环保大楼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铜川市环境监测站经办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0919-3198096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陕西中肆工程项目管理有限公司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陕西省西安市莲湖区西安市高新一路2号国家开发银行大厦1幢12201室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戴政希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18502947001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代理服务费收费标准：代理服务费用收取对象：中标/成交供应商 代理服务费收费标准：代理服务费用收取对象：中标/成交供应商 代理服务费收费标准：确定中标人后3个工作日内，由中标人按国家计委颁发的《招标代理服务收费管理暂行办法》（计价格[2002]1980号）和国家发展改革委员会办公厅颁发的《关于招标代理服务收费有关问题的通知》（发改办价格[2003] 857号）的有关规定标准，按中标价下浮6%向采购代理机构一次付清招标代理服务费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铜川市环境监测站</w:t>
      </w:r>
      <w:r>
        <w:rPr>
          <w:rFonts w:ascii="仿宋_GB2312" w:hAnsi="仿宋_GB2312" w:cs="仿宋_GB2312" w:eastAsia="仿宋_GB2312"/>
        </w:rPr>
        <w:t>和</w:t>
      </w:r>
      <w:r>
        <w:rPr>
          <w:rFonts w:ascii="仿宋_GB2312" w:hAnsi="仿宋_GB2312" w:cs="仿宋_GB2312" w:eastAsia="仿宋_GB2312"/>
        </w:rPr>
        <w:t>陕西中肆工程项目管理有限公司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铜川市环境监测站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陕西中肆工程项目管理有限公司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铜川市环境监测站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陕西中肆工程项目管理有限公司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陕西中肆工程项目管理有限公司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陕西中肆工程项目管理有限公司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陕西中肆工程项目管理有限公司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联系人：高晴 赵娟娟</w:t>
      </w:r>
    </w:p>
    <w:p>
      <w:pPr>
        <w:pStyle w:val="null3"/>
      </w:pPr>
      <w:r>
        <w:rPr>
          <w:rFonts w:ascii="仿宋_GB2312" w:hAnsi="仿宋_GB2312" w:cs="仿宋_GB2312" w:eastAsia="仿宋_GB2312"/>
        </w:rPr>
        <w:t>联系电话：029-68683886</w:t>
      </w:r>
    </w:p>
    <w:p>
      <w:pPr>
        <w:pStyle w:val="null3"/>
      </w:pPr>
      <w:r>
        <w:rPr>
          <w:rFonts w:ascii="仿宋_GB2312" w:hAnsi="仿宋_GB2312" w:cs="仿宋_GB2312" w:eastAsia="仿宋_GB2312"/>
        </w:rPr>
        <w:t>地址：陕西省西安市莲湖区西安市高新一路2号国家开发银行大厦1幢12201室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①采购内容:建设铜川市重点用车企业环保门禁监管平台。②主要功能或目标:铜川市重点用车企业环保门禁监管平台，对重点用车企业车辆运行情况实施管理。③需满足的要求:环保门禁监管平台需符合生态环境部及陕西省生态环境厅相关技术规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1,680,000.00</w:t>
      </w:r>
    </w:p>
    <w:p>
      <w:pPr>
        <w:pStyle w:val="null3"/>
      </w:pPr>
      <w:r>
        <w:rPr>
          <w:rFonts w:ascii="仿宋_GB2312" w:hAnsi="仿宋_GB2312" w:cs="仿宋_GB2312" w:eastAsia="仿宋_GB2312"/>
        </w:rPr>
        <w:t>采购包最高限价（元）: 1,680,000.00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numPr>
                <w:ilvl w:val="0"/>
                <w:numId w:val="1"/>
              </w:numPr>
            </w:pPr>
            <w:r>
              <w:rPr>
                <w:rFonts w:ascii="仿宋_GB2312" w:hAnsi="仿宋_GB2312" w:cs="仿宋_GB2312" w:eastAsia="仿宋_GB2312"/>
                <w:sz w:val="20"/>
                <w:b/>
              </w:rPr>
              <w:t>建设目标及原则</w:t>
            </w:r>
          </w:p>
          <w:p>
            <w:pPr>
              <w:pStyle w:val="null3"/>
              <w:numPr>
                <w:ilvl w:val="0"/>
                <w:numId w:val="1"/>
              </w:numPr>
            </w:pPr>
            <w:r>
              <w:rPr>
                <w:rFonts w:ascii="仿宋_GB2312" w:hAnsi="仿宋_GB2312" w:cs="仿宋_GB2312" w:eastAsia="仿宋_GB2312"/>
                <w:sz w:val="20"/>
                <w:b/>
              </w:rPr>
              <w:t>建设目标</w:t>
            </w:r>
          </w:p>
          <w:p>
            <w:pPr>
              <w:pStyle w:val="null3"/>
              <w:ind w:firstLine="560"/>
            </w:pPr>
            <w:r>
              <w:rPr>
                <w:rFonts w:ascii="仿宋_GB2312" w:hAnsi="仿宋_GB2312" w:cs="仿宋_GB2312" w:eastAsia="仿宋_GB2312"/>
                <w:sz w:val="20"/>
              </w:rPr>
              <w:t>针对辖区内监管的重点用车企业，建设重点用车企业环保门禁监管平台，包括市级监管平台、区县级分级应用。对接减排企业前端管控卡口设备，进一步完善重污染天气响应机制，通过企业进出车辆管控，实现对应管控车辆的快速</w:t>
            </w:r>
            <w:r>
              <w:rPr>
                <w:rFonts w:ascii="仿宋_GB2312" w:hAnsi="仿宋_GB2312" w:cs="仿宋_GB2312" w:eastAsia="仿宋_GB2312"/>
                <w:sz w:val="20"/>
              </w:rPr>
              <w:t>“识别报警、控制进出”，并对企业卡口通过车辆的数量进行统计、分析，以便各级监管部门掌握进出企业的车辆情况。最终解决重污染天气应急响应措施难落实、企业管控效率低等问题，提高重污染天气响应强度，缓解与减少重污染天气发生频率。</w:t>
            </w:r>
          </w:p>
          <w:p>
            <w:pPr>
              <w:pStyle w:val="null3"/>
              <w:numPr>
                <w:ilvl w:val="0"/>
                <w:numId w:val="1"/>
              </w:numPr>
            </w:pPr>
            <w:r>
              <w:rPr>
                <w:rFonts w:ascii="仿宋_GB2312" w:hAnsi="仿宋_GB2312" w:cs="仿宋_GB2312" w:eastAsia="仿宋_GB2312"/>
                <w:sz w:val="20"/>
                <w:b/>
              </w:rPr>
              <w:t>建设原则</w:t>
            </w:r>
          </w:p>
          <w:p>
            <w:pPr>
              <w:pStyle w:val="null3"/>
              <w:numPr>
                <w:ilvl w:val="0"/>
                <w:numId w:val="1"/>
              </w:numPr>
            </w:pPr>
            <w:r>
              <w:rPr>
                <w:rFonts w:ascii="仿宋_GB2312" w:hAnsi="仿宋_GB2312" w:cs="仿宋_GB2312" w:eastAsia="仿宋_GB2312"/>
                <w:sz w:val="20"/>
                <w:b/>
              </w:rPr>
              <w:t>创新、实用原则</w:t>
            </w:r>
          </w:p>
          <w:p>
            <w:pPr>
              <w:pStyle w:val="null3"/>
              <w:ind w:firstLine="560"/>
              <w:jc w:val="both"/>
            </w:pPr>
            <w:r>
              <w:rPr>
                <w:rFonts w:ascii="仿宋_GB2312" w:hAnsi="仿宋_GB2312" w:cs="仿宋_GB2312" w:eastAsia="仿宋_GB2312"/>
                <w:sz w:val="20"/>
              </w:rPr>
              <w:t>由于本系统是要求将辖区内各重点用车企业的门禁系统接入至市级监管平台，其中涉及不同厂商、不同品牌及各种视频监控格式、通讯协议、通讯传输方式等，因此需要进行创新性的开发及部署。同时，还要充分考虑到项目建设成本和企业运行管理成本，做到硬件设备充分利旧，最大程度减少企业经济负担。</w:t>
            </w:r>
          </w:p>
          <w:p>
            <w:pPr>
              <w:pStyle w:val="null3"/>
              <w:numPr>
                <w:ilvl w:val="0"/>
                <w:numId w:val="1"/>
              </w:numPr>
            </w:pPr>
            <w:r>
              <w:rPr>
                <w:rFonts w:ascii="仿宋_GB2312" w:hAnsi="仿宋_GB2312" w:cs="仿宋_GB2312" w:eastAsia="仿宋_GB2312"/>
                <w:sz w:val="20"/>
                <w:b/>
              </w:rPr>
              <w:t>安全、高效原则</w:t>
            </w:r>
          </w:p>
          <w:p>
            <w:pPr>
              <w:pStyle w:val="null3"/>
              <w:ind w:firstLine="560"/>
              <w:jc w:val="both"/>
            </w:pPr>
            <w:r>
              <w:rPr>
                <w:rFonts w:ascii="仿宋_GB2312" w:hAnsi="仿宋_GB2312" w:cs="仿宋_GB2312" w:eastAsia="仿宋_GB2312"/>
                <w:sz w:val="20"/>
              </w:rPr>
              <w:t>按照现有国家网络信息安全要求，严格执行信息安全等级保护和涉密信息系统分级保护制度，构建健全高效的视频图像信息安全体系，提升视频图像信息安全防护能力，确保终端设备、网络传输、数据和信息系统的安全。</w:t>
            </w:r>
          </w:p>
          <w:p>
            <w:pPr>
              <w:pStyle w:val="null3"/>
              <w:numPr>
                <w:ilvl w:val="0"/>
                <w:numId w:val="1"/>
              </w:numPr>
            </w:pPr>
            <w:r>
              <w:rPr>
                <w:rFonts w:ascii="仿宋_GB2312" w:hAnsi="仿宋_GB2312" w:cs="仿宋_GB2312" w:eastAsia="仿宋_GB2312"/>
                <w:sz w:val="20"/>
                <w:b/>
              </w:rPr>
              <w:t>公开、透明原则</w:t>
            </w:r>
          </w:p>
          <w:p>
            <w:pPr>
              <w:pStyle w:val="null3"/>
              <w:ind w:firstLine="560"/>
              <w:jc w:val="both"/>
            </w:pPr>
            <w:r>
              <w:rPr>
                <w:rFonts w:ascii="仿宋_GB2312" w:hAnsi="仿宋_GB2312" w:cs="仿宋_GB2312" w:eastAsia="仿宋_GB2312"/>
                <w:sz w:val="20"/>
              </w:rPr>
              <w:t>由于是针对重点用车企业进出厂车辆的移动污染源排放情况的监控与监管，必然会涉及到相应产生的处罚及处理，因此，系统在保证相关信息安全的前提下，会遵照公开、公正、透明的原则，依法将相关信息进行公示，各企业用户也可通过企业端实时查看相关信息。</w:t>
            </w:r>
          </w:p>
          <w:p>
            <w:pPr>
              <w:pStyle w:val="null3"/>
            </w:pPr>
            <w:r>
              <w:rPr>
                <w:rFonts w:ascii="仿宋_GB2312" w:hAnsi="仿宋_GB2312" w:cs="仿宋_GB2312" w:eastAsia="仿宋_GB2312"/>
                <w:sz w:val="20"/>
                <w:b/>
              </w:rPr>
              <w:t>建设依据</w:t>
            </w:r>
          </w:p>
          <w:p>
            <w:pPr>
              <w:pStyle w:val="null3"/>
              <w:ind w:firstLine="560"/>
              <w:jc w:val="both"/>
            </w:pPr>
            <w:r>
              <w:rPr>
                <w:rFonts w:ascii="仿宋_GB2312" w:hAnsi="仿宋_GB2312" w:cs="仿宋_GB2312" w:eastAsia="仿宋_GB2312"/>
                <w:sz w:val="20"/>
              </w:rPr>
              <w:t>《空气质量持续改善行动计划》国发〔</w:t>
            </w:r>
            <w:r>
              <w:rPr>
                <w:rFonts w:ascii="仿宋_GB2312" w:hAnsi="仿宋_GB2312" w:cs="仿宋_GB2312" w:eastAsia="仿宋_GB2312"/>
                <w:sz w:val="20"/>
              </w:rPr>
              <w:t>2023〕24号</w:t>
            </w:r>
          </w:p>
          <w:p>
            <w:pPr>
              <w:pStyle w:val="null3"/>
              <w:ind w:firstLine="560"/>
              <w:jc w:val="both"/>
            </w:pPr>
            <w:r>
              <w:rPr>
                <w:rFonts w:ascii="仿宋_GB2312" w:hAnsi="仿宋_GB2312" w:cs="仿宋_GB2312" w:eastAsia="仿宋_GB2312"/>
                <w:sz w:val="20"/>
              </w:rPr>
              <w:t>《重点行业移动源监管与核查技术指南》（</w:t>
            </w:r>
            <w:r>
              <w:rPr>
                <w:rFonts w:ascii="仿宋_GB2312" w:hAnsi="仿宋_GB2312" w:cs="仿宋_GB2312" w:eastAsia="仿宋_GB2312"/>
                <w:sz w:val="20"/>
              </w:rPr>
              <w:t>HJ 1321—2023）</w:t>
            </w:r>
          </w:p>
          <w:p>
            <w:pPr>
              <w:pStyle w:val="null3"/>
              <w:ind w:firstLine="560"/>
              <w:jc w:val="both"/>
            </w:pPr>
            <w:r>
              <w:rPr>
                <w:rFonts w:ascii="仿宋_GB2312" w:hAnsi="仿宋_GB2312" w:cs="仿宋_GB2312" w:eastAsia="仿宋_GB2312"/>
                <w:sz w:val="20"/>
              </w:rPr>
              <w:t>《重污染天气重点行业绩效分级及减排措施》补充说明的通知（环办便函〔</w:t>
            </w:r>
            <w:r>
              <w:rPr>
                <w:rFonts w:ascii="仿宋_GB2312" w:hAnsi="仿宋_GB2312" w:cs="仿宋_GB2312" w:eastAsia="仿宋_GB2312"/>
                <w:sz w:val="20"/>
              </w:rPr>
              <w:t>2021〕341号）</w:t>
            </w:r>
          </w:p>
          <w:p>
            <w:pPr>
              <w:pStyle w:val="null3"/>
              <w:ind w:firstLine="560"/>
              <w:jc w:val="both"/>
            </w:pPr>
            <w:r>
              <w:rPr>
                <w:rFonts w:ascii="仿宋_GB2312" w:hAnsi="仿宋_GB2312" w:cs="仿宋_GB2312" w:eastAsia="仿宋_GB2312"/>
                <w:sz w:val="20"/>
              </w:rPr>
              <w:t>《重污染天气重点行业应急减排措施制定技术指南（</w:t>
            </w:r>
            <w:r>
              <w:rPr>
                <w:rFonts w:ascii="仿宋_GB2312" w:hAnsi="仿宋_GB2312" w:cs="仿宋_GB2312" w:eastAsia="仿宋_GB2312"/>
                <w:sz w:val="20"/>
              </w:rPr>
              <w:t>2020年修订版）》〔环办大气函〔2020〕340号）</w:t>
            </w:r>
          </w:p>
          <w:p>
            <w:pPr>
              <w:pStyle w:val="null3"/>
              <w:ind w:firstLine="560"/>
              <w:jc w:val="both"/>
            </w:pPr>
            <w:r>
              <w:rPr>
                <w:rFonts w:ascii="仿宋_GB2312" w:hAnsi="仿宋_GB2312" w:cs="仿宋_GB2312" w:eastAsia="仿宋_GB2312"/>
                <w:sz w:val="20"/>
              </w:rPr>
              <w:t>《关于加强重污染天气应对夯实应急减排措施的指导意见》环办大气函〔</w:t>
            </w:r>
            <w:r>
              <w:rPr>
                <w:rFonts w:ascii="仿宋_GB2312" w:hAnsi="仿宋_GB2312" w:cs="仿宋_GB2312" w:eastAsia="仿宋_GB2312"/>
                <w:sz w:val="20"/>
              </w:rPr>
              <w:t>2019〕648号</w:t>
            </w:r>
          </w:p>
          <w:p>
            <w:pPr>
              <w:pStyle w:val="null3"/>
              <w:ind w:firstLine="560"/>
              <w:jc w:val="both"/>
            </w:pPr>
            <w:r>
              <w:rPr>
                <w:rFonts w:ascii="仿宋_GB2312" w:hAnsi="仿宋_GB2312" w:cs="仿宋_GB2312" w:eastAsia="仿宋_GB2312"/>
                <w:sz w:val="20"/>
              </w:rPr>
              <w:t>《陕西省大气污染治理专项行动方案（</w:t>
            </w:r>
            <w:r>
              <w:rPr>
                <w:rFonts w:ascii="仿宋_GB2312" w:hAnsi="仿宋_GB2312" w:cs="仿宋_GB2312" w:eastAsia="仿宋_GB2312"/>
                <w:sz w:val="20"/>
              </w:rPr>
              <w:t>2023-2027年）》（陕发〔2023〕4号）</w:t>
            </w:r>
          </w:p>
          <w:p>
            <w:pPr>
              <w:pStyle w:val="null3"/>
              <w:ind w:firstLine="560"/>
              <w:jc w:val="both"/>
            </w:pPr>
            <w:r>
              <w:rPr>
                <w:rFonts w:ascii="仿宋_GB2312" w:hAnsi="仿宋_GB2312" w:cs="仿宋_GB2312" w:eastAsia="仿宋_GB2312"/>
                <w:sz w:val="20"/>
              </w:rPr>
              <w:t>《陕西省重点用车企业环保门禁及视频</w:t>
            </w:r>
            <w:r>
              <w:rPr>
                <w:rFonts w:ascii="仿宋_GB2312" w:hAnsi="仿宋_GB2312" w:cs="仿宋_GB2312" w:eastAsia="仿宋_GB2312"/>
                <w:sz w:val="20"/>
              </w:rPr>
              <w:t>监管系统</w:t>
            </w:r>
            <w:r>
              <w:rPr>
                <w:rFonts w:ascii="仿宋_GB2312" w:hAnsi="仿宋_GB2312" w:cs="仿宋_GB2312" w:eastAsia="仿宋_GB2312"/>
                <w:sz w:val="20"/>
              </w:rPr>
              <w:t>建设技术指南（试行）》陕环发〔</w:t>
            </w:r>
            <w:r>
              <w:rPr>
                <w:rFonts w:ascii="仿宋_GB2312" w:hAnsi="仿宋_GB2312" w:cs="仿宋_GB2312" w:eastAsia="仿宋_GB2312"/>
                <w:sz w:val="20"/>
              </w:rPr>
              <w:t>2023〕64号</w:t>
            </w:r>
          </w:p>
          <w:p>
            <w:pPr>
              <w:pStyle w:val="null3"/>
              <w:ind w:firstLine="560"/>
              <w:jc w:val="both"/>
            </w:pPr>
            <w:r>
              <w:rPr>
                <w:rFonts w:ascii="仿宋_GB2312" w:hAnsi="仿宋_GB2312" w:cs="仿宋_GB2312" w:eastAsia="仿宋_GB2312"/>
                <w:sz w:val="20"/>
              </w:rPr>
              <w:t>《陕西省生态环境厅关于进一步加强和规范重点用车企业环保门禁系统及市级监管平台建设的通知》陕环大气函〔</w:t>
            </w:r>
            <w:r>
              <w:rPr>
                <w:rFonts w:ascii="仿宋_GB2312" w:hAnsi="仿宋_GB2312" w:cs="仿宋_GB2312" w:eastAsia="仿宋_GB2312"/>
                <w:sz w:val="20"/>
              </w:rPr>
              <w:t>2023〕62号</w:t>
            </w:r>
          </w:p>
          <w:p>
            <w:pPr>
              <w:pStyle w:val="null3"/>
              <w:ind w:firstLine="560"/>
              <w:jc w:val="both"/>
            </w:pPr>
            <w:r>
              <w:rPr>
                <w:rFonts w:ascii="仿宋_GB2312" w:hAnsi="仿宋_GB2312" w:cs="仿宋_GB2312" w:eastAsia="仿宋_GB2312"/>
                <w:sz w:val="20"/>
              </w:rPr>
              <w:t>《陕西省生态环境厅办公室转发咸阳市生态环境局关于推进第一批重点用车企业门禁系统建设工作通知的函》（陕环办函〔</w:t>
            </w:r>
            <w:r>
              <w:rPr>
                <w:rFonts w:ascii="仿宋_GB2312" w:hAnsi="仿宋_GB2312" w:cs="仿宋_GB2312" w:eastAsia="仿宋_GB2312"/>
                <w:sz w:val="20"/>
              </w:rPr>
              <w:t>2021〕108号）</w:t>
            </w:r>
          </w:p>
          <w:p>
            <w:pPr>
              <w:pStyle w:val="null3"/>
              <w:ind w:firstLine="560"/>
              <w:jc w:val="both"/>
            </w:pPr>
            <w:r>
              <w:rPr>
                <w:rFonts w:ascii="仿宋_GB2312" w:hAnsi="仿宋_GB2312" w:cs="仿宋_GB2312" w:eastAsia="仿宋_GB2312"/>
                <w:sz w:val="20"/>
              </w:rPr>
              <w:t>《信息技术开放系统互连网络层安全协议》（</w:t>
            </w:r>
            <w:r>
              <w:rPr>
                <w:rFonts w:ascii="仿宋_GB2312" w:hAnsi="仿宋_GB2312" w:cs="仿宋_GB2312" w:eastAsia="仿宋_GB2312"/>
                <w:sz w:val="20"/>
              </w:rPr>
              <w:t>GB/T 17963-2000）</w:t>
            </w:r>
          </w:p>
          <w:p>
            <w:pPr>
              <w:pStyle w:val="null3"/>
              <w:ind w:firstLine="560"/>
              <w:jc w:val="both"/>
            </w:pPr>
            <w:r>
              <w:rPr>
                <w:rFonts w:ascii="仿宋_GB2312" w:hAnsi="仿宋_GB2312" w:cs="仿宋_GB2312" w:eastAsia="仿宋_GB2312"/>
                <w:sz w:val="20"/>
              </w:rPr>
              <w:t>《计算机信息系统安全等级保护划分准则》（</w:t>
            </w:r>
            <w:r>
              <w:rPr>
                <w:rFonts w:ascii="仿宋_GB2312" w:hAnsi="仿宋_GB2312" w:cs="仿宋_GB2312" w:eastAsia="仿宋_GB2312"/>
                <w:sz w:val="20"/>
              </w:rPr>
              <w:t>GB 17859-1999）</w:t>
            </w:r>
          </w:p>
          <w:p>
            <w:pPr>
              <w:pStyle w:val="null3"/>
              <w:ind w:firstLine="560"/>
              <w:jc w:val="both"/>
            </w:pPr>
            <w:r>
              <w:rPr>
                <w:rFonts w:ascii="仿宋_GB2312" w:hAnsi="仿宋_GB2312" w:cs="仿宋_GB2312" w:eastAsia="仿宋_GB2312"/>
                <w:sz w:val="20"/>
              </w:rPr>
              <w:t>《民用闭路监视电视系统工程技术规范》</w:t>
            </w:r>
            <w:r>
              <w:rPr>
                <w:rFonts w:ascii="仿宋_GB2312" w:hAnsi="仿宋_GB2312" w:cs="仿宋_GB2312" w:eastAsia="仿宋_GB2312"/>
                <w:sz w:val="20"/>
              </w:rPr>
              <w:t>(GB50198-2011)</w:t>
            </w:r>
          </w:p>
          <w:p>
            <w:pPr>
              <w:pStyle w:val="null3"/>
              <w:ind w:firstLine="560"/>
              <w:jc w:val="both"/>
            </w:pPr>
            <w:r>
              <w:rPr>
                <w:rFonts w:ascii="仿宋_GB2312" w:hAnsi="仿宋_GB2312" w:cs="仿宋_GB2312" w:eastAsia="仿宋_GB2312"/>
                <w:sz w:val="20"/>
              </w:rPr>
              <w:t>《工业电视系统工程设计规范》（</w:t>
            </w:r>
            <w:r>
              <w:rPr>
                <w:rFonts w:ascii="仿宋_GB2312" w:hAnsi="仿宋_GB2312" w:cs="仿宋_GB2312" w:eastAsia="仿宋_GB2312"/>
                <w:sz w:val="20"/>
              </w:rPr>
              <w:t>GB50115-2009）</w:t>
            </w:r>
          </w:p>
          <w:p>
            <w:pPr>
              <w:pStyle w:val="null3"/>
              <w:ind w:firstLine="560"/>
              <w:jc w:val="both"/>
            </w:pPr>
            <w:r>
              <w:rPr>
                <w:rFonts w:ascii="仿宋_GB2312" w:hAnsi="仿宋_GB2312" w:cs="仿宋_GB2312" w:eastAsia="仿宋_GB2312"/>
                <w:sz w:val="20"/>
              </w:rPr>
              <w:t>《建筑与建筑群综合布线系统工程设计规范》（</w:t>
            </w:r>
            <w:r>
              <w:rPr>
                <w:rFonts w:ascii="仿宋_GB2312" w:hAnsi="仿宋_GB2312" w:cs="仿宋_GB2312" w:eastAsia="仿宋_GB2312"/>
                <w:sz w:val="20"/>
              </w:rPr>
              <w:t>GB50311-2007）</w:t>
            </w:r>
          </w:p>
          <w:p>
            <w:pPr>
              <w:pStyle w:val="null3"/>
              <w:ind w:firstLine="560"/>
              <w:jc w:val="both"/>
            </w:pPr>
            <w:r>
              <w:rPr>
                <w:rFonts w:ascii="仿宋_GB2312" w:hAnsi="仿宋_GB2312" w:cs="仿宋_GB2312" w:eastAsia="仿宋_GB2312"/>
                <w:sz w:val="20"/>
              </w:rPr>
              <w:t>《电线电缆识别标志方法》（</w:t>
            </w:r>
            <w:r>
              <w:rPr>
                <w:rFonts w:ascii="仿宋_GB2312" w:hAnsi="仿宋_GB2312" w:cs="仿宋_GB2312" w:eastAsia="仿宋_GB2312"/>
                <w:sz w:val="20"/>
              </w:rPr>
              <w:t>GB/T6995-2008）</w:t>
            </w:r>
          </w:p>
          <w:p>
            <w:pPr>
              <w:pStyle w:val="null3"/>
              <w:ind w:firstLine="560"/>
              <w:jc w:val="both"/>
            </w:pPr>
            <w:r>
              <w:rPr>
                <w:rFonts w:ascii="仿宋_GB2312" w:hAnsi="仿宋_GB2312" w:cs="仿宋_GB2312" w:eastAsia="仿宋_GB2312"/>
                <w:sz w:val="20"/>
              </w:rPr>
              <w:t>《智能建筑设计标准》（</w:t>
            </w:r>
            <w:r>
              <w:rPr>
                <w:rFonts w:ascii="仿宋_GB2312" w:hAnsi="仿宋_GB2312" w:cs="仿宋_GB2312" w:eastAsia="仿宋_GB2312"/>
                <w:sz w:val="20"/>
              </w:rPr>
              <w:t>GB/T 50314－2015）</w:t>
            </w:r>
          </w:p>
          <w:p>
            <w:pPr>
              <w:pStyle w:val="null3"/>
              <w:ind w:firstLine="560"/>
              <w:jc w:val="both"/>
            </w:pPr>
            <w:r>
              <w:rPr>
                <w:rFonts w:ascii="仿宋_GB2312" w:hAnsi="仿宋_GB2312" w:cs="仿宋_GB2312" w:eastAsia="仿宋_GB2312"/>
                <w:sz w:val="20"/>
              </w:rPr>
              <w:t>《电子计算机机房设计规范》</w:t>
            </w:r>
            <w:r>
              <w:rPr>
                <w:rFonts w:ascii="仿宋_GB2312" w:hAnsi="仿宋_GB2312" w:cs="仿宋_GB2312" w:eastAsia="仿宋_GB2312"/>
                <w:sz w:val="20"/>
              </w:rPr>
              <w:t>(GB50174-2008）</w:t>
            </w:r>
          </w:p>
          <w:p>
            <w:pPr>
              <w:pStyle w:val="null3"/>
              <w:ind w:firstLine="560"/>
              <w:jc w:val="both"/>
            </w:pPr>
            <w:r>
              <w:rPr>
                <w:rFonts w:ascii="仿宋_GB2312" w:hAnsi="仿宋_GB2312" w:cs="仿宋_GB2312" w:eastAsia="仿宋_GB2312"/>
                <w:sz w:val="20"/>
              </w:rPr>
              <w:t>《建筑物防雷设计规范》</w:t>
            </w:r>
            <w:r>
              <w:rPr>
                <w:rFonts w:ascii="仿宋_GB2312" w:hAnsi="仿宋_GB2312" w:cs="仿宋_GB2312" w:eastAsia="仿宋_GB2312"/>
                <w:sz w:val="20"/>
              </w:rPr>
              <w:t>(GB50057-2010)</w:t>
            </w:r>
          </w:p>
          <w:p>
            <w:pPr>
              <w:pStyle w:val="null3"/>
              <w:ind w:firstLine="560"/>
              <w:jc w:val="both"/>
            </w:pPr>
            <w:r>
              <w:rPr>
                <w:rFonts w:ascii="仿宋_GB2312" w:hAnsi="仿宋_GB2312" w:cs="仿宋_GB2312" w:eastAsia="仿宋_GB2312"/>
                <w:sz w:val="20"/>
              </w:rPr>
              <w:t>《建筑物电子信息系统防雷技术规范》</w:t>
            </w:r>
            <w:r>
              <w:rPr>
                <w:rFonts w:ascii="仿宋_GB2312" w:hAnsi="仿宋_GB2312" w:cs="仿宋_GB2312" w:eastAsia="仿宋_GB2312"/>
                <w:sz w:val="20"/>
              </w:rPr>
              <w:t>(GB50343-2012)</w:t>
            </w:r>
          </w:p>
          <w:p>
            <w:pPr>
              <w:pStyle w:val="null3"/>
              <w:ind w:firstLine="560"/>
              <w:jc w:val="both"/>
            </w:pPr>
            <w:r>
              <w:rPr>
                <w:rFonts w:ascii="仿宋_GB2312" w:hAnsi="仿宋_GB2312" w:cs="仿宋_GB2312" w:eastAsia="仿宋_GB2312"/>
                <w:sz w:val="20"/>
              </w:rPr>
              <w:t>《入侵报警子系统雷电浪涌防护技术要求》</w:t>
            </w:r>
            <w:r>
              <w:rPr>
                <w:rFonts w:ascii="仿宋_GB2312" w:hAnsi="仿宋_GB2312" w:cs="仿宋_GB2312" w:eastAsia="仿宋_GB2312"/>
                <w:sz w:val="20"/>
              </w:rPr>
              <w:t>(GA/T670-2006)</w:t>
            </w:r>
          </w:p>
          <w:p>
            <w:pPr>
              <w:pStyle w:val="null3"/>
              <w:ind w:firstLine="560"/>
              <w:jc w:val="both"/>
            </w:pPr>
            <w:r>
              <w:rPr>
                <w:rFonts w:ascii="仿宋_GB2312" w:hAnsi="仿宋_GB2312" w:cs="仿宋_GB2312" w:eastAsia="仿宋_GB2312"/>
                <w:sz w:val="20"/>
              </w:rPr>
              <w:t>《民用建筑电气设计规范》</w:t>
            </w:r>
            <w:r>
              <w:rPr>
                <w:rFonts w:ascii="仿宋_GB2312" w:hAnsi="仿宋_GB2312" w:cs="仿宋_GB2312" w:eastAsia="仿宋_GB2312"/>
                <w:sz w:val="20"/>
              </w:rPr>
              <w:t>(JGJ16-2008)</w:t>
            </w:r>
          </w:p>
          <w:p>
            <w:pPr>
              <w:pStyle w:val="null3"/>
              <w:ind w:firstLine="560"/>
              <w:jc w:val="both"/>
            </w:pPr>
            <w:r>
              <w:rPr>
                <w:rFonts w:ascii="仿宋_GB2312" w:hAnsi="仿宋_GB2312" w:cs="仿宋_GB2312" w:eastAsia="仿宋_GB2312"/>
                <w:sz w:val="20"/>
              </w:rPr>
              <w:t>《在用柴油车排气污染物测量方法及技术要求（遥感检测法）》（</w:t>
            </w:r>
            <w:r>
              <w:rPr>
                <w:rFonts w:ascii="仿宋_GB2312" w:hAnsi="仿宋_GB2312" w:cs="仿宋_GB2312" w:eastAsia="仿宋_GB2312"/>
                <w:sz w:val="20"/>
              </w:rPr>
              <w:t>HJ845-2017）</w:t>
            </w:r>
          </w:p>
          <w:p>
            <w:pPr>
              <w:pStyle w:val="null3"/>
              <w:ind w:firstLine="560"/>
              <w:jc w:val="both"/>
            </w:pPr>
            <w:r>
              <w:rPr>
                <w:rFonts w:ascii="仿宋_GB2312" w:hAnsi="仿宋_GB2312" w:cs="仿宋_GB2312" w:eastAsia="仿宋_GB2312"/>
                <w:sz w:val="20"/>
              </w:rPr>
              <w:t>《公共安全视频监控联网系统信息传输、交换、控制技术要求》（</w:t>
            </w:r>
            <w:r>
              <w:rPr>
                <w:rFonts w:ascii="仿宋_GB2312" w:hAnsi="仿宋_GB2312" w:cs="仿宋_GB2312" w:eastAsia="仿宋_GB2312"/>
                <w:sz w:val="20"/>
              </w:rPr>
              <w:t>HGB/T28181）</w:t>
            </w:r>
          </w:p>
          <w:p>
            <w:pPr>
              <w:pStyle w:val="null3"/>
              <w:ind w:firstLine="560"/>
              <w:jc w:val="both"/>
            </w:pPr>
            <w:r>
              <w:rPr>
                <w:rFonts w:ascii="仿宋_GB2312" w:hAnsi="仿宋_GB2312" w:cs="仿宋_GB2312" w:eastAsia="仿宋_GB2312"/>
                <w:sz w:val="20"/>
              </w:rPr>
              <w:t>《道路交通安全违法行为图像取证技术规范》（</w:t>
            </w:r>
            <w:r>
              <w:rPr>
                <w:rFonts w:ascii="仿宋_GB2312" w:hAnsi="仿宋_GB2312" w:cs="仿宋_GB2312" w:eastAsia="仿宋_GB2312"/>
                <w:sz w:val="20"/>
              </w:rPr>
              <w:t>GA/T832-2014）</w:t>
            </w:r>
          </w:p>
          <w:p>
            <w:pPr>
              <w:pStyle w:val="null3"/>
              <w:numPr>
                <w:ilvl w:val="0"/>
                <w:numId w:val="1"/>
              </w:numPr>
            </w:pPr>
            <w:r>
              <w:rPr>
                <w:rFonts w:ascii="仿宋_GB2312" w:hAnsi="仿宋_GB2312" w:cs="仿宋_GB2312" w:eastAsia="仿宋_GB2312"/>
                <w:sz w:val="30"/>
              </w:rPr>
              <w:t xml:space="preserve"> </w:t>
            </w:r>
            <w:r>
              <w:rPr>
                <w:rFonts w:ascii="仿宋_GB2312" w:hAnsi="仿宋_GB2312" w:cs="仿宋_GB2312" w:eastAsia="仿宋_GB2312"/>
                <w:sz w:val="20"/>
                <w:b/>
              </w:rPr>
              <w:t>应用需求</w:t>
            </w:r>
          </w:p>
          <w:p>
            <w:pPr>
              <w:pStyle w:val="null3"/>
              <w:ind w:firstLine="560"/>
              <w:jc w:val="both"/>
            </w:pPr>
            <w:r>
              <w:rPr>
                <w:rFonts w:ascii="仿宋_GB2312" w:hAnsi="仿宋_GB2312" w:cs="仿宋_GB2312" w:eastAsia="仿宋_GB2312"/>
                <w:sz w:val="20"/>
              </w:rPr>
              <w:t>近年来我国多次出现大范围、长时间的重污染天气，损害公众健康、影响社会和谐稳定，受到全民关注。重污染天气下主要污染物浓度值会明显</w:t>
            </w:r>
            <w:r>
              <w:rPr>
                <w:rFonts w:ascii="仿宋_GB2312" w:hAnsi="仿宋_GB2312" w:cs="仿宋_GB2312" w:eastAsia="仿宋_GB2312"/>
                <w:sz w:val="20"/>
              </w:rPr>
              <w:t>“拉高”其年均值，对全年空气质量改善任务能否完成具有至关重要的影响。重污染天气应急管理是减轻重污染天气危害、维护公众健康的必要举措，也是加强大气污染防治的重要抓手。</w:t>
            </w:r>
          </w:p>
          <w:p>
            <w:pPr>
              <w:pStyle w:val="null3"/>
              <w:numPr>
                <w:ilvl w:val="0"/>
                <w:numId w:val="1"/>
              </w:numPr>
            </w:pPr>
            <w:r>
              <w:rPr>
                <w:rFonts w:ascii="仿宋_GB2312" w:hAnsi="仿宋_GB2312" w:cs="仿宋_GB2312" w:eastAsia="仿宋_GB2312"/>
                <w:sz w:val="20"/>
                <w:b/>
              </w:rPr>
              <w:t>政策分析</w:t>
            </w:r>
          </w:p>
          <w:p>
            <w:pPr>
              <w:pStyle w:val="null3"/>
              <w:ind w:firstLine="560"/>
              <w:jc w:val="both"/>
            </w:pPr>
            <w:r>
              <w:rPr>
                <w:rFonts w:ascii="仿宋_GB2312" w:hAnsi="仿宋_GB2312" w:cs="仿宋_GB2312" w:eastAsia="仿宋_GB2312"/>
                <w:sz w:val="20"/>
              </w:rPr>
              <w:t>国务院印发《空气质量持续改善行动计划》国发〔2023〕24号</w:t>
            </w:r>
          </w:p>
          <w:p>
            <w:pPr>
              <w:pStyle w:val="null3"/>
              <w:ind w:firstLine="560"/>
              <w:jc w:val="both"/>
            </w:pPr>
            <w:r>
              <w:rPr>
                <w:rFonts w:ascii="仿宋_GB2312" w:hAnsi="仿宋_GB2312" w:cs="仿宋_GB2312" w:eastAsia="仿宋_GB2312"/>
                <w:sz w:val="20"/>
              </w:rPr>
              <w:t>落实全国生态环境保护大会部署，坚持稳中求进工作总基调，协同推进降碳、减污、扩绿、增长，以改善空气质量为核心，以减少重污染天气和解决人民群众身边的突出大气环境问题为重点，以降低细颗粒物（</w:t>
            </w:r>
            <w:r>
              <w:rPr>
                <w:rFonts w:ascii="仿宋_GB2312" w:hAnsi="仿宋_GB2312" w:cs="仿宋_GB2312" w:eastAsia="仿宋_GB2312"/>
                <w:sz w:val="20"/>
              </w:rPr>
              <w:t>PM2.5）浓度为主线，大力推动氮氧化物和挥发性有机物（VOCs）减排；开展区域协同治理，突出精准、科学、依法治污，完善大气环境管理体系，提升污染防治能力；远近结合研究谋划大气污染防治路径，扎实推进产业、能源、交通绿色低碳转型，强化面源污染治理，加强源头防控，加快形成绿色低碳生产生活方式，实现环境效益、经济效益和社会效益多赢。</w:t>
            </w:r>
          </w:p>
          <w:p>
            <w:pPr>
              <w:pStyle w:val="null3"/>
              <w:ind w:firstLine="560"/>
              <w:jc w:val="both"/>
            </w:pPr>
            <w:r>
              <w:rPr>
                <w:rFonts w:ascii="仿宋_GB2312" w:hAnsi="仿宋_GB2312" w:cs="仿宋_GB2312" w:eastAsia="仿宋_GB2312"/>
                <w:sz w:val="20"/>
              </w:rPr>
              <w:t>生态环境部印发</w:t>
            </w:r>
            <w:r>
              <w:rPr>
                <w:rFonts w:ascii="仿宋_GB2312" w:hAnsi="仿宋_GB2312" w:cs="仿宋_GB2312" w:eastAsia="仿宋_GB2312"/>
                <w:sz w:val="20"/>
              </w:rPr>
              <w:t>《重点行业移动源监管与核查技术指南》（</w:t>
            </w:r>
            <w:r>
              <w:rPr>
                <w:rFonts w:ascii="仿宋_GB2312" w:hAnsi="仿宋_GB2312" w:cs="仿宋_GB2312" w:eastAsia="仿宋_GB2312"/>
                <w:sz w:val="20"/>
              </w:rPr>
              <w:t>HJ 1321—2023）</w:t>
            </w:r>
          </w:p>
          <w:p>
            <w:pPr>
              <w:pStyle w:val="null3"/>
              <w:ind w:firstLine="560"/>
              <w:jc w:val="both"/>
            </w:pPr>
            <w:r>
              <w:rPr>
                <w:rFonts w:ascii="仿宋_GB2312" w:hAnsi="仿宋_GB2312" w:cs="仿宋_GB2312" w:eastAsia="仿宋_GB2312"/>
                <w:sz w:val="20"/>
              </w:rPr>
              <w:t>要求</w:t>
            </w:r>
            <w:r>
              <w:rPr>
                <w:rFonts w:ascii="仿宋_GB2312" w:hAnsi="仿宋_GB2312" w:cs="仿宋_GB2312" w:eastAsia="仿宋_GB2312"/>
                <w:sz w:val="20"/>
              </w:rPr>
              <w:t>企业应建立门禁及视频监管系统对车辆进出进行识别监控，建立相应的台账管理制度，并按统一技术参数要求与市级、省级、国务院生态环境主管部门监管系统联网，实时报送相关数据。市级及以上生态环境主管部门应建立监管系统，对企业移动源使用情况进行查询、统计和监管。企业门禁及视频监管系统应与生态环境主管部门监管系统联网，实现对运输车辆（含承运单位车辆）、厂内运输车辆以及非道路移动机械使用情况实时监管。</w:t>
            </w:r>
          </w:p>
          <w:p>
            <w:pPr>
              <w:pStyle w:val="null3"/>
              <w:ind w:firstLine="560"/>
              <w:jc w:val="both"/>
            </w:pPr>
            <w:r>
              <w:rPr>
                <w:rFonts w:ascii="仿宋_GB2312" w:hAnsi="仿宋_GB2312" w:cs="仿宋_GB2312" w:eastAsia="仿宋_GB2312"/>
                <w:sz w:val="20"/>
              </w:rPr>
              <w:t>《关于加强重污染天气应对夯实应急减排措施的指导意见》</w:t>
            </w:r>
            <w:r>
              <w:rPr>
                <w:rFonts w:ascii="仿宋_GB2312" w:hAnsi="仿宋_GB2312" w:cs="仿宋_GB2312" w:eastAsia="仿宋_GB2312"/>
                <w:sz w:val="20"/>
              </w:rPr>
              <w:t>环办大气函〔</w:t>
            </w:r>
            <w:r>
              <w:rPr>
                <w:rFonts w:ascii="仿宋_GB2312" w:hAnsi="仿宋_GB2312" w:cs="仿宋_GB2312" w:eastAsia="仿宋_GB2312"/>
                <w:sz w:val="20"/>
              </w:rPr>
              <w:t>2019〕648号</w:t>
            </w:r>
          </w:p>
          <w:p>
            <w:pPr>
              <w:pStyle w:val="null3"/>
              <w:ind w:firstLine="560"/>
              <w:jc w:val="both"/>
            </w:pPr>
            <w:r>
              <w:rPr>
                <w:rFonts w:ascii="仿宋_GB2312" w:hAnsi="仿宋_GB2312" w:cs="仿宋_GB2312" w:eastAsia="仿宋_GB2312"/>
                <w:sz w:val="20"/>
              </w:rPr>
              <w:t>切实发挥重污染天气应急预案作用，及时发布相应级别预警，采取有效措施，强化重污染天气应对，不断提高环境管理精细化水平，减少重污染天气发生频率和污染程度；切实减轻重污染天气对人民群众生产生活产生的影响，保护公众健康。</w:t>
            </w:r>
          </w:p>
          <w:p>
            <w:pPr>
              <w:pStyle w:val="null3"/>
              <w:ind w:firstLine="560"/>
              <w:jc w:val="both"/>
            </w:pPr>
            <w:r>
              <w:rPr>
                <w:rFonts w:ascii="仿宋_GB2312" w:hAnsi="仿宋_GB2312" w:cs="仿宋_GB2312" w:eastAsia="仿宋_GB2312"/>
                <w:sz w:val="20"/>
              </w:rPr>
              <w:t>《陕西省大气污染治理专项行动方案（2023-2027年）》</w:t>
            </w:r>
            <w:r>
              <w:rPr>
                <w:rFonts w:ascii="仿宋_GB2312" w:hAnsi="仿宋_GB2312" w:cs="仿宋_GB2312" w:eastAsia="仿宋_GB2312"/>
                <w:sz w:val="20"/>
              </w:rPr>
              <w:t>（陕发〔</w:t>
            </w:r>
            <w:r>
              <w:rPr>
                <w:rFonts w:ascii="仿宋_GB2312" w:hAnsi="仿宋_GB2312" w:cs="仿宋_GB2312" w:eastAsia="仿宋_GB2312"/>
                <w:sz w:val="20"/>
              </w:rPr>
              <w:t>2023〕4号）</w:t>
            </w:r>
          </w:p>
          <w:p>
            <w:pPr>
              <w:pStyle w:val="null3"/>
              <w:ind w:firstLine="560"/>
              <w:jc w:val="both"/>
            </w:pPr>
            <w:r>
              <w:rPr>
                <w:rFonts w:ascii="仿宋_GB2312" w:hAnsi="仿宋_GB2312" w:cs="仿宋_GB2312" w:eastAsia="仿宋_GB2312"/>
                <w:sz w:val="20"/>
              </w:rPr>
              <w:t>企业要坚决落实《重污染天气重点行业应急减排措施制定技术指南》要求，日载货车辆进出</w:t>
            </w:r>
            <w:r>
              <w:rPr>
                <w:rFonts w:ascii="仿宋_GB2312" w:hAnsi="仿宋_GB2312" w:cs="仿宋_GB2312" w:eastAsia="仿宋_GB2312"/>
                <w:sz w:val="20"/>
              </w:rPr>
              <w:t>10辆次及以上的单位涉及大宗物料运输企业全部建立门禁系统。</w:t>
            </w:r>
          </w:p>
          <w:p>
            <w:pPr>
              <w:pStyle w:val="null3"/>
              <w:ind w:firstLine="560"/>
              <w:jc w:val="both"/>
            </w:pPr>
            <w:r>
              <w:rPr>
                <w:rFonts w:ascii="仿宋_GB2312" w:hAnsi="仿宋_GB2312" w:cs="仿宋_GB2312" w:eastAsia="仿宋_GB2312"/>
                <w:sz w:val="20"/>
              </w:rPr>
              <w:t>《陕西省重点用车企业环保门禁及视频监管系统建设技术指南（试行）》</w:t>
            </w:r>
            <w:r>
              <w:rPr>
                <w:rFonts w:ascii="仿宋_GB2312" w:hAnsi="仿宋_GB2312" w:cs="仿宋_GB2312" w:eastAsia="仿宋_GB2312"/>
                <w:sz w:val="20"/>
              </w:rPr>
              <w:t>陕环发〔</w:t>
            </w:r>
            <w:r>
              <w:rPr>
                <w:rFonts w:ascii="仿宋_GB2312" w:hAnsi="仿宋_GB2312" w:cs="仿宋_GB2312" w:eastAsia="仿宋_GB2312"/>
                <w:sz w:val="20"/>
              </w:rPr>
              <w:t>2023〕64号</w:t>
            </w:r>
          </w:p>
          <w:p>
            <w:pPr>
              <w:pStyle w:val="null3"/>
              <w:ind w:firstLine="560"/>
              <w:jc w:val="both"/>
            </w:pPr>
            <w:r>
              <w:rPr>
                <w:rFonts w:ascii="仿宋_GB2312" w:hAnsi="仿宋_GB2312" w:cs="仿宋_GB2312" w:eastAsia="仿宋_GB2312"/>
                <w:sz w:val="20"/>
              </w:rPr>
              <w:t>为落实《中华人民共和国大气污染防治法》、《重污染天气重点行业应急减排措施制定技术指南（</w:t>
            </w:r>
            <w:r>
              <w:rPr>
                <w:rFonts w:ascii="仿宋_GB2312" w:hAnsi="仿宋_GB2312" w:cs="仿宋_GB2312" w:eastAsia="仿宋_GB2312"/>
                <w:sz w:val="20"/>
              </w:rPr>
              <w:t>2020 年修订版）》（环办大气函〔2020〕340 号）及其补充说明，《重污染天气重点行业移动源应急管理技术指南（试行）》文件要求，指导陕西省内重点用车企业环保门禁及视频监管系统及市级重污染天气移动源监管平台建设，加强重点用车企业移动源监管，有效落实重污染天气应急减排法律责任。</w:t>
            </w:r>
          </w:p>
          <w:p>
            <w:pPr>
              <w:pStyle w:val="null3"/>
              <w:ind w:firstLine="560"/>
              <w:jc w:val="both"/>
            </w:pPr>
            <w:r>
              <w:rPr>
                <w:rFonts w:ascii="仿宋_GB2312" w:hAnsi="仿宋_GB2312" w:cs="仿宋_GB2312" w:eastAsia="仿宋_GB2312"/>
                <w:sz w:val="20"/>
              </w:rPr>
              <w:t>《陕西省生态环境厅关于进一步加强和规范重点用车企业环保门禁系统及市级监管平台建设的通知》陕环大气函〔</w:t>
            </w:r>
            <w:r>
              <w:rPr>
                <w:rFonts w:ascii="仿宋_GB2312" w:hAnsi="仿宋_GB2312" w:cs="仿宋_GB2312" w:eastAsia="仿宋_GB2312"/>
                <w:sz w:val="20"/>
              </w:rPr>
              <w:t>2023〕62号</w:t>
            </w:r>
          </w:p>
          <w:p>
            <w:pPr>
              <w:pStyle w:val="null3"/>
              <w:ind w:firstLine="560"/>
              <w:jc w:val="both"/>
            </w:pPr>
            <w:r>
              <w:rPr>
                <w:rFonts w:ascii="仿宋_GB2312" w:hAnsi="仿宋_GB2312" w:cs="仿宋_GB2312" w:eastAsia="仿宋_GB2312"/>
                <w:sz w:val="20"/>
              </w:rPr>
              <w:t>省厅对各市（区）符合条件的市级平台择优进行支持。各市（区）生态环境局须在</w:t>
            </w:r>
            <w:r>
              <w:rPr>
                <w:rFonts w:ascii="仿宋_GB2312" w:hAnsi="仿宋_GB2312" w:cs="仿宋_GB2312" w:eastAsia="仿宋_GB2312"/>
                <w:sz w:val="20"/>
              </w:rPr>
              <w:t>2024 年 2 月 29 日前制定车辆视频</w:t>
            </w:r>
            <w:r>
              <w:rPr>
                <w:rFonts w:ascii="仿宋_GB2312" w:hAnsi="仿宋_GB2312" w:cs="仿宋_GB2312" w:eastAsia="仿宋_GB2312"/>
                <w:sz w:val="20"/>
              </w:rPr>
              <w:t>监管系统</w:t>
            </w:r>
            <w:r>
              <w:rPr>
                <w:rFonts w:ascii="仿宋_GB2312" w:hAnsi="仿宋_GB2312" w:cs="仿宋_GB2312" w:eastAsia="仿宋_GB2312"/>
                <w:sz w:val="20"/>
              </w:rPr>
              <w:t>市级平台建设或升级实施方案，同时按照中央和省级大气污染防治资金项目库指南相关要求及程序申报入库。</w:t>
            </w:r>
          </w:p>
          <w:p>
            <w:pPr>
              <w:pStyle w:val="null3"/>
              <w:ind w:firstLine="560"/>
              <w:jc w:val="both"/>
            </w:pPr>
            <w:r>
              <w:rPr>
                <w:rFonts w:ascii="仿宋_GB2312" w:hAnsi="仿宋_GB2312" w:cs="仿宋_GB2312" w:eastAsia="仿宋_GB2312"/>
                <w:sz w:val="20"/>
                <w:b/>
              </w:rPr>
              <w:t>依法依规：</w:t>
            </w:r>
            <w:r>
              <w:rPr>
                <w:rFonts w:ascii="仿宋_GB2312" w:hAnsi="仿宋_GB2312" w:cs="仿宋_GB2312" w:eastAsia="仿宋_GB2312"/>
                <w:sz w:val="20"/>
              </w:rPr>
              <w:t>根据大气法第</w:t>
            </w:r>
            <w:r>
              <w:rPr>
                <w:rFonts w:ascii="仿宋_GB2312" w:hAnsi="仿宋_GB2312" w:cs="仿宋_GB2312" w:eastAsia="仿宋_GB2312"/>
                <w:sz w:val="20"/>
              </w:rPr>
              <w:t>96条要求，启动应急预案，采取应急减排措施。</w:t>
            </w:r>
          </w:p>
          <w:p>
            <w:pPr>
              <w:pStyle w:val="null3"/>
              <w:ind w:firstLine="562"/>
              <w:jc w:val="both"/>
            </w:pPr>
            <w:r>
              <w:rPr>
                <w:rFonts w:ascii="仿宋_GB2312" w:hAnsi="仿宋_GB2312" w:cs="仿宋_GB2312" w:eastAsia="仿宋_GB2312"/>
                <w:sz w:val="20"/>
                <w:b/>
              </w:rPr>
              <w:t>减排为要：</w:t>
            </w:r>
            <w:r>
              <w:rPr>
                <w:rFonts w:ascii="仿宋_GB2312" w:hAnsi="仿宋_GB2312" w:cs="仿宋_GB2312" w:eastAsia="仿宋_GB2312"/>
                <w:sz w:val="20"/>
              </w:rPr>
              <w:t>切实达到黄、橙、红不同预警期间，</w:t>
            </w:r>
            <w:r>
              <w:rPr>
                <w:rFonts w:ascii="仿宋_GB2312" w:hAnsi="仿宋_GB2312" w:cs="仿宋_GB2312" w:eastAsia="仿宋_GB2312"/>
                <w:sz w:val="20"/>
              </w:rPr>
              <w:t>10%、20%、30%的减排比例要求。</w:t>
            </w:r>
          </w:p>
          <w:p>
            <w:pPr>
              <w:pStyle w:val="null3"/>
              <w:ind w:firstLine="562"/>
              <w:jc w:val="both"/>
            </w:pPr>
            <w:r>
              <w:rPr>
                <w:rFonts w:ascii="仿宋_GB2312" w:hAnsi="仿宋_GB2312" w:cs="仿宋_GB2312" w:eastAsia="仿宋_GB2312"/>
                <w:sz w:val="20"/>
                <w:b/>
              </w:rPr>
              <w:t>差异管控：</w:t>
            </w:r>
            <w:r>
              <w:rPr>
                <w:rFonts w:ascii="仿宋_GB2312" w:hAnsi="仿宋_GB2312" w:cs="仿宋_GB2312" w:eastAsia="仿宋_GB2312"/>
                <w:sz w:val="20"/>
              </w:rPr>
              <w:t>重点行业绩效分级</w:t>
            </w:r>
            <w:r>
              <w:rPr>
                <w:rFonts w:ascii="仿宋_GB2312" w:hAnsi="仿宋_GB2312" w:cs="仿宋_GB2312" w:eastAsia="仿宋_GB2312"/>
                <w:sz w:val="20"/>
              </w:rPr>
              <w:t>ABC，促进行业升级改造，推进高质量发展。</w:t>
            </w:r>
          </w:p>
          <w:p>
            <w:pPr>
              <w:pStyle w:val="null3"/>
              <w:ind w:firstLine="560"/>
              <w:jc w:val="both"/>
            </w:pPr>
            <w:r>
              <w:rPr>
                <w:rFonts w:ascii="仿宋_GB2312" w:hAnsi="仿宋_GB2312" w:cs="仿宋_GB2312" w:eastAsia="仿宋_GB2312"/>
                <w:sz w:val="20"/>
              </w:rPr>
              <w:t>以重点区域（京津冀及周边地区、长三角地区、汾渭平原）为核心，分别发布了《关于</w:t>
            </w:r>
            <w:r>
              <w:rPr>
                <w:rFonts w:ascii="仿宋_GB2312" w:hAnsi="仿宋_GB2312" w:cs="仿宋_GB2312" w:eastAsia="仿宋_GB2312"/>
                <w:sz w:val="20"/>
              </w:rPr>
              <w:t>2019-2020年秋冬季大气污染综合治理攻坚行动方案》，行动方案中以产业结构调整、运输结构调整、能源结构调整、用地结构调整、工业炉窑大气污染综合治理、VOCs治理、重污染天气应对、能力建设七大方面进行重污染天气应对。</w:t>
            </w:r>
          </w:p>
          <w:p>
            <w:pPr>
              <w:pStyle w:val="null3"/>
              <w:ind w:firstLine="560"/>
              <w:jc w:val="both"/>
            </w:pPr>
            <w:r>
              <w:rPr>
                <w:rFonts w:ascii="仿宋_GB2312" w:hAnsi="仿宋_GB2312" w:cs="仿宋_GB2312" w:eastAsia="仿宋_GB2312"/>
                <w:sz w:val="20"/>
              </w:rPr>
              <w:t>共涉及</w:t>
            </w:r>
            <w:r>
              <w:rPr>
                <w:rFonts w:ascii="仿宋_GB2312" w:hAnsi="仿宋_GB2312" w:cs="仿宋_GB2312" w:eastAsia="仿宋_GB2312"/>
                <w:sz w:val="20"/>
              </w:rPr>
              <w:t>3个直辖市、8个省共计82个城市的建设范围，直辖市分别是：北京市、天津市、上海市，8个省分别是：山东省、山西省、河北省、河南省、陕西省、安徽省、江苏省、浙江省。</w:t>
            </w:r>
          </w:p>
          <w:p>
            <w:pPr>
              <w:pStyle w:val="null3"/>
              <w:numPr>
                <w:ilvl w:val="0"/>
                <w:numId w:val="1"/>
              </w:numPr>
            </w:pPr>
            <w:r>
              <w:rPr>
                <w:rFonts w:ascii="仿宋_GB2312" w:hAnsi="仿宋_GB2312" w:cs="仿宋_GB2312" w:eastAsia="仿宋_GB2312"/>
                <w:sz w:val="30"/>
              </w:rPr>
              <w:t xml:space="preserve"> </w:t>
            </w:r>
            <w:r>
              <w:rPr>
                <w:rFonts w:ascii="仿宋_GB2312" w:hAnsi="仿宋_GB2312" w:cs="仿宋_GB2312" w:eastAsia="仿宋_GB2312"/>
                <w:sz w:val="20"/>
                <w:b/>
              </w:rPr>
              <w:t>现状分析</w:t>
            </w:r>
          </w:p>
          <w:p>
            <w:pPr>
              <w:pStyle w:val="null3"/>
              <w:ind w:firstLine="560"/>
              <w:jc w:val="both"/>
            </w:pPr>
            <w:r>
              <w:rPr>
                <w:rFonts w:ascii="仿宋_GB2312" w:hAnsi="仿宋_GB2312" w:cs="仿宋_GB2312" w:eastAsia="仿宋_GB2312"/>
                <w:sz w:val="20"/>
                <w:shd w:fill="FFFFFF" w:val="clear"/>
              </w:rPr>
              <w:t>铜川市</w:t>
            </w:r>
            <w:r>
              <w:rPr>
                <w:rFonts w:ascii="仿宋_GB2312" w:hAnsi="仿宋_GB2312" w:cs="仿宋_GB2312" w:eastAsia="仿宋_GB2312"/>
                <w:sz w:val="20"/>
              </w:rPr>
              <w:t>目前重点用车</w:t>
            </w:r>
            <w:r>
              <w:rPr>
                <w:rFonts w:ascii="仿宋_GB2312" w:hAnsi="仿宋_GB2312" w:cs="仿宋_GB2312" w:eastAsia="仿宋_GB2312"/>
                <w:sz w:val="20"/>
                <w:shd w:fill="FFFFFF" w:val="clear"/>
              </w:rPr>
              <w:t>企业多且各重点用车企业分散于应急管控辖区内的各个区县，地</w:t>
            </w:r>
            <w:r>
              <w:rPr>
                <w:rFonts w:ascii="仿宋_GB2312" w:hAnsi="仿宋_GB2312" w:cs="仿宋_GB2312" w:eastAsia="仿宋_GB2312"/>
                <w:sz w:val="20"/>
              </w:rPr>
              <w:t>理位置跨度较大。应急管控各环节情况，均靠线下人工记录调整，受跨时空因素限制，检查效率低，无法及时发现减排企业未按要求减排，放行物料车辆的违规行为，难以进行管控，整体情况无法直观展示给管理人员，包括管控范围、管控效果、减排企业管控情况等，很大程度上阻碍了管理的应急管控工作开展。且企业柴油车和非道路移动机械地理边界和发生的位置难以识别和确定，随机性强、成因复杂，且潜伏周期长，因而管控十分困难。由于涉及范围广、控制难度大，目前已成为影响大气环境质量的重要污染源之一。综合以上情况，单靠目前人力监管的模式，难以保证减排企业按照应急响应措施进行减排减量，急需按照《陕西省重点用车企业环保门禁及视频</w:t>
            </w:r>
            <w:r>
              <w:rPr>
                <w:rFonts w:ascii="仿宋_GB2312" w:hAnsi="仿宋_GB2312" w:cs="仿宋_GB2312" w:eastAsia="仿宋_GB2312"/>
                <w:sz w:val="20"/>
              </w:rPr>
              <w:t>监管系统</w:t>
            </w:r>
            <w:r>
              <w:rPr>
                <w:rFonts w:ascii="仿宋_GB2312" w:hAnsi="仿宋_GB2312" w:cs="仿宋_GB2312" w:eastAsia="仿宋_GB2312"/>
                <w:sz w:val="20"/>
              </w:rPr>
              <w:t>建设技术指南（试行）》陕环发〔</w:t>
            </w:r>
            <w:r>
              <w:rPr>
                <w:rFonts w:ascii="仿宋_GB2312" w:hAnsi="仿宋_GB2312" w:cs="仿宋_GB2312" w:eastAsia="仿宋_GB2312"/>
                <w:sz w:val="20"/>
              </w:rPr>
              <w:t>2023〕64号，结合信息化管控手段，建设智能化监管平台，形成实时监管体系，实现重污染天气应急预案的启动与解除，更需要实现预案启动后对管控企业和车辆的有效管控，加强重污染天气应对夯实应急减排措施。</w:t>
            </w:r>
          </w:p>
          <w:p>
            <w:pPr>
              <w:pStyle w:val="null3"/>
              <w:numPr>
                <w:ilvl w:val="0"/>
                <w:numId w:val="1"/>
              </w:numPr>
            </w:pPr>
            <w:r>
              <w:rPr>
                <w:rFonts w:ascii="仿宋_GB2312" w:hAnsi="仿宋_GB2312" w:cs="仿宋_GB2312" w:eastAsia="仿宋_GB2312"/>
                <w:sz w:val="30"/>
              </w:rPr>
              <w:t xml:space="preserve"> </w:t>
            </w:r>
            <w:r>
              <w:rPr>
                <w:rFonts w:ascii="仿宋_GB2312" w:hAnsi="仿宋_GB2312" w:cs="仿宋_GB2312" w:eastAsia="仿宋_GB2312"/>
                <w:sz w:val="20"/>
                <w:b/>
              </w:rPr>
              <w:t>需求分析</w:t>
            </w:r>
          </w:p>
          <w:p>
            <w:pPr>
              <w:pStyle w:val="null3"/>
              <w:ind w:firstLine="560"/>
              <w:jc w:val="left"/>
            </w:pPr>
            <w:r>
              <w:rPr>
                <w:rFonts w:ascii="仿宋_GB2312" w:hAnsi="仿宋_GB2312" w:cs="仿宋_GB2312" w:eastAsia="仿宋_GB2312"/>
                <w:sz w:val="20"/>
                <w:b/>
              </w:rPr>
              <w:t>市级监管需求</w:t>
            </w:r>
          </w:p>
          <w:p>
            <w:pPr>
              <w:pStyle w:val="null3"/>
              <w:ind w:firstLine="560"/>
              <w:jc w:val="both"/>
            </w:pPr>
            <w:r>
              <w:rPr>
                <w:rFonts w:ascii="仿宋_GB2312" w:hAnsi="仿宋_GB2312" w:cs="仿宋_GB2312" w:eastAsia="仿宋_GB2312"/>
                <w:sz w:val="20"/>
              </w:rPr>
              <w:t>以政策为依据，构建连接企业端与省级监管平台的中间枢纽，通过标准化数据采集、智能化车辆管控、精准化监管分析，对重点用车企业车辆的使用情况进行监管，包括运输台账查询，下发管控策略、</w:t>
            </w:r>
            <w:r>
              <w:rPr>
                <w:rFonts w:ascii="仿宋_GB2312" w:hAnsi="仿宋_GB2312" w:cs="仿宋_GB2312" w:eastAsia="仿宋_GB2312"/>
                <w:sz w:val="20"/>
              </w:rPr>
              <w:t>疑似问题车辆名单和违规通行车辆名单，车辆、企业和运输数据的查询与数据统计，实现重点用车企业移动源污染防治的全流程可查、可核、可溯，为日常监管、重污染天气应急响应及减排评估提供技术支撑。市级监管平台通过环保专网或电子政务外网与省级监管平台进行联网，实时上报监控数据。市级监管平台应满足国家信息系统安全等级保护测评要求。</w:t>
            </w:r>
          </w:p>
          <w:p>
            <w:pPr>
              <w:pStyle w:val="null3"/>
              <w:spacing w:before="120" w:after="120"/>
              <w:jc w:val="left"/>
              <w:outlineLvl w:val="0"/>
            </w:pPr>
            <w:r>
              <w:rPr>
                <w:rFonts w:ascii="仿宋_GB2312" w:hAnsi="仿宋_GB2312" w:cs="仿宋_GB2312" w:eastAsia="仿宋_GB2312"/>
                <w:sz w:val="20"/>
                <w:b/>
              </w:rPr>
              <w:t>政策合规需求</w:t>
            </w:r>
          </w:p>
          <w:p>
            <w:pPr>
              <w:pStyle w:val="null3"/>
              <w:spacing w:before="120" w:after="120"/>
              <w:jc w:val="left"/>
              <w:outlineLvl w:val="0"/>
            </w:pPr>
            <w:r>
              <w:rPr>
                <w:rFonts w:ascii="仿宋_GB2312" w:hAnsi="仿宋_GB2312" w:cs="仿宋_GB2312" w:eastAsia="仿宋_GB2312"/>
                <w:sz w:val="20"/>
                <w:b/>
              </w:rPr>
              <w:t>1.依据刚性对接要求：严格遵循《重污染天气重点行业应急减排措施制定技术指南（2020年修订版）》《重点行业移动源监管与核查技术指南》（HJ 1327—2023）等政策，强制要求重点企业门禁系统与平台联网，实时上报车辆核心数据。</w:t>
            </w:r>
          </w:p>
          <w:p>
            <w:pPr>
              <w:pStyle w:val="null3"/>
              <w:spacing w:before="120" w:after="120"/>
              <w:jc w:val="left"/>
              <w:outlineLvl w:val="0"/>
            </w:pPr>
            <w:r>
              <w:rPr>
                <w:rFonts w:ascii="仿宋_GB2312" w:hAnsi="仿宋_GB2312" w:cs="仿宋_GB2312" w:eastAsia="仿宋_GB2312"/>
                <w:sz w:val="20"/>
                <w:b/>
              </w:rPr>
              <w:t>2.响应绩效评级标准：满足涉气企业环保绩效评级（尤其是B级及以上和绩效引领性企业）对清洁运输门禁系统的建设要求，将系统运行情况纳入核查重点。</w:t>
            </w:r>
          </w:p>
          <w:p>
            <w:pPr>
              <w:pStyle w:val="null3"/>
              <w:spacing w:before="120" w:after="120"/>
              <w:jc w:val="left"/>
              <w:outlineLvl w:val="0"/>
            </w:pPr>
            <w:r>
              <w:rPr>
                <w:rFonts w:ascii="仿宋_GB2312" w:hAnsi="仿宋_GB2312" w:cs="仿宋_GB2312" w:eastAsia="仿宋_GB2312"/>
                <w:sz w:val="20"/>
                <w:b/>
              </w:rPr>
              <w:t>3.落实应急管控指令：支持根据重污染天气预警级别，向企业下发“一厂一策”管控策略，实现超标车辆自动拦截。</w:t>
            </w:r>
          </w:p>
          <w:p>
            <w:pPr>
              <w:pStyle w:val="null3"/>
            </w:pPr>
            <w:r>
              <w:rPr>
                <w:rFonts w:ascii="仿宋_GB2312" w:hAnsi="仿宋_GB2312" w:cs="仿宋_GB2312" w:eastAsia="仿宋_GB2312"/>
                <w:sz w:val="30"/>
              </w:rPr>
              <w:t xml:space="preserve"> </w:t>
            </w:r>
            <w:r>
              <w:rPr>
                <w:rFonts w:ascii="仿宋_GB2312" w:hAnsi="仿宋_GB2312" w:cs="仿宋_GB2312" w:eastAsia="仿宋_GB2312"/>
                <w:sz w:val="20"/>
                <w:b/>
              </w:rPr>
              <w:t>市级监管平台建设</w:t>
            </w:r>
          </w:p>
          <w:p>
            <w:pPr>
              <w:pStyle w:val="null3"/>
              <w:ind w:firstLine="560"/>
              <w:jc w:val="both"/>
            </w:pPr>
            <w:r>
              <w:rPr>
                <w:rFonts w:ascii="仿宋_GB2312" w:hAnsi="仿宋_GB2312" w:cs="仿宋_GB2312" w:eastAsia="仿宋_GB2312"/>
                <w:sz w:val="20"/>
              </w:rPr>
              <w:t>市级监管平台应具备数据查询与汇总、企业信息管理、车辆管理、车辆信息校验管理、疑似车辆管理、异常车辆管理、管控策略、报警管理、数据上报、响应评估、区县级分级应用等功能。</w:t>
            </w:r>
          </w:p>
          <w:p>
            <w:pPr>
              <w:pStyle w:val="null3"/>
            </w:pPr>
            <w:r>
              <w:rPr>
                <w:rFonts w:ascii="仿宋_GB2312" w:hAnsi="仿宋_GB2312" w:cs="仿宋_GB2312" w:eastAsia="仿宋_GB2312"/>
                <w:sz w:val="30"/>
              </w:rPr>
              <w:t xml:space="preserve"> </w:t>
            </w:r>
            <w:r>
              <w:rPr>
                <w:rFonts w:ascii="仿宋_GB2312" w:hAnsi="仿宋_GB2312" w:cs="仿宋_GB2312" w:eastAsia="仿宋_GB2312"/>
                <w:sz w:val="20"/>
                <w:b/>
              </w:rPr>
              <w:t>数据查询与汇总</w:t>
            </w:r>
          </w:p>
          <w:p>
            <w:pPr>
              <w:pStyle w:val="null3"/>
              <w:ind w:firstLine="560"/>
              <w:jc w:val="both"/>
            </w:pPr>
            <w:r>
              <w:rPr>
                <w:rFonts w:ascii="仿宋_GB2312" w:hAnsi="仿宋_GB2312" w:cs="仿宋_GB2312" w:eastAsia="仿宋_GB2312"/>
                <w:sz w:val="20"/>
              </w:rPr>
              <w:t>监管平台应具备对重点用车企业上报数据按行业类型、企业、时间、排放标准、燃料类型、管控策略、县（区、市）等多条件组合查询的功能。</w:t>
            </w:r>
          </w:p>
          <w:p>
            <w:pPr>
              <w:pStyle w:val="null3"/>
              <w:ind w:firstLine="560"/>
              <w:jc w:val="both"/>
            </w:pPr>
            <w:r>
              <w:rPr>
                <w:rFonts w:ascii="仿宋_GB2312" w:hAnsi="仿宋_GB2312" w:cs="仿宋_GB2312" w:eastAsia="仿宋_GB2312"/>
                <w:sz w:val="20"/>
              </w:rPr>
              <w:t>应具备对重点用车企业上报的关键数据（如企业车辆相关信息、违规照片）存储和统计汇总的功能，便于实时监控。</w:t>
            </w:r>
          </w:p>
          <w:p>
            <w:pPr>
              <w:pStyle w:val="null3"/>
            </w:pPr>
            <w:r>
              <w:rPr>
                <w:rFonts w:ascii="仿宋_GB2312" w:hAnsi="仿宋_GB2312" w:cs="仿宋_GB2312" w:eastAsia="仿宋_GB2312"/>
                <w:sz w:val="30"/>
              </w:rPr>
              <w:t xml:space="preserve"> </w:t>
            </w:r>
            <w:r>
              <w:rPr>
                <w:rFonts w:ascii="仿宋_GB2312" w:hAnsi="仿宋_GB2312" w:cs="仿宋_GB2312" w:eastAsia="仿宋_GB2312"/>
                <w:sz w:val="20"/>
                <w:b/>
              </w:rPr>
              <w:t>企业信息管理</w:t>
            </w:r>
          </w:p>
          <w:p>
            <w:pPr>
              <w:pStyle w:val="null3"/>
              <w:ind w:firstLine="529"/>
              <w:jc w:val="both"/>
            </w:pPr>
            <w:r>
              <w:rPr>
                <w:rFonts w:ascii="仿宋_GB2312" w:hAnsi="仿宋_GB2312" w:cs="仿宋_GB2312" w:eastAsia="仿宋_GB2312"/>
                <w:sz w:val="20"/>
              </w:rPr>
              <w:t>应具备对重点用车企业基本信息管理、重点用车企业编号管理功能。</w:t>
            </w:r>
          </w:p>
          <w:p>
            <w:pPr>
              <w:pStyle w:val="null3"/>
            </w:pPr>
            <w:r>
              <w:rPr>
                <w:rFonts w:ascii="仿宋_GB2312" w:hAnsi="仿宋_GB2312" w:cs="仿宋_GB2312" w:eastAsia="仿宋_GB2312"/>
                <w:sz w:val="30"/>
              </w:rPr>
              <w:t xml:space="preserve"> </w:t>
            </w:r>
            <w:r>
              <w:rPr>
                <w:rFonts w:ascii="仿宋_GB2312" w:hAnsi="仿宋_GB2312" w:cs="仿宋_GB2312" w:eastAsia="仿宋_GB2312"/>
                <w:sz w:val="20"/>
                <w:b/>
              </w:rPr>
              <w:t>车辆管理</w:t>
            </w:r>
          </w:p>
          <w:p>
            <w:pPr>
              <w:pStyle w:val="null3"/>
              <w:ind w:firstLine="560"/>
              <w:jc w:val="both"/>
            </w:pPr>
            <w:r>
              <w:rPr>
                <w:rFonts w:ascii="仿宋_GB2312" w:hAnsi="仿宋_GB2312" w:cs="仿宋_GB2312" w:eastAsia="仿宋_GB2312"/>
                <w:sz w:val="20"/>
              </w:rPr>
              <w:t>具备对重点用车企业系统上报的进出厂车辆、场内运输车辆、非道路移动机械车辆数据进行管理、查询与储存的功能。</w:t>
            </w:r>
          </w:p>
          <w:p>
            <w:pPr>
              <w:pStyle w:val="null3"/>
            </w:pPr>
            <w:r>
              <w:rPr>
                <w:rFonts w:ascii="仿宋_GB2312" w:hAnsi="仿宋_GB2312" w:cs="仿宋_GB2312" w:eastAsia="仿宋_GB2312"/>
                <w:sz w:val="20"/>
                <w:b/>
              </w:rPr>
              <w:t>车辆信息校验管理</w:t>
            </w:r>
          </w:p>
          <w:p>
            <w:pPr>
              <w:pStyle w:val="null3"/>
              <w:ind w:firstLine="560"/>
              <w:jc w:val="both"/>
            </w:pPr>
            <w:r>
              <w:rPr>
                <w:rFonts w:ascii="仿宋_GB2312" w:hAnsi="仿宋_GB2312" w:cs="仿宋_GB2312" w:eastAsia="仿宋_GB2312"/>
                <w:sz w:val="20"/>
              </w:rPr>
              <w:t>应具备对重点用车企业系统上报数据完整性进行校验，对准确性和真实性进行抽查的功能，校验、抽查的内容主要包括车辆信息、车辆是否属于异常车辆等关键内容。</w:t>
            </w:r>
          </w:p>
          <w:p>
            <w:pPr>
              <w:pStyle w:val="null3"/>
              <w:ind w:firstLine="560"/>
              <w:jc w:val="both"/>
            </w:pPr>
            <w:r>
              <w:rPr>
                <w:rFonts w:ascii="仿宋_GB2312" w:hAnsi="仿宋_GB2312" w:cs="仿宋_GB2312" w:eastAsia="仿宋_GB2312"/>
                <w:sz w:val="20"/>
              </w:rPr>
              <w:t>信息校验应预留与省级信息平台对接接口，获取省级信息平台车辆信息，通过省级下发的信息、共享数据，市级平台校验后形成疑似问题车辆名单，实时下发给重点用车企业系统。</w:t>
            </w:r>
          </w:p>
          <w:p>
            <w:pPr>
              <w:pStyle w:val="null3"/>
            </w:pPr>
            <w:r>
              <w:rPr>
                <w:rFonts w:ascii="仿宋_GB2312" w:hAnsi="仿宋_GB2312" w:cs="仿宋_GB2312" w:eastAsia="仿宋_GB2312"/>
                <w:sz w:val="20"/>
                <w:b/>
              </w:rPr>
              <w:t>疑似车辆管理</w:t>
            </w:r>
          </w:p>
          <w:p>
            <w:pPr>
              <w:pStyle w:val="null3"/>
              <w:ind w:firstLine="400"/>
              <w:jc w:val="both"/>
            </w:pPr>
            <w:r>
              <w:rPr>
                <w:rFonts w:ascii="仿宋_GB2312" w:hAnsi="仿宋_GB2312" w:cs="仿宋_GB2312" w:eastAsia="仿宋_GB2312"/>
                <w:sz w:val="20"/>
              </w:rPr>
              <w:t>应具备将疑似问题车辆名单更新管理、实时下发的功能。</w:t>
            </w:r>
          </w:p>
          <w:p>
            <w:pPr>
              <w:pStyle w:val="null3"/>
              <w:ind w:firstLine="400"/>
              <w:jc w:val="both"/>
            </w:pPr>
            <w:r>
              <w:rPr>
                <w:rFonts w:ascii="仿宋_GB2312" w:hAnsi="仿宋_GB2312" w:cs="仿宋_GB2312" w:eastAsia="仿宋_GB2312"/>
                <w:sz w:val="20"/>
              </w:rPr>
              <w:t>异常车辆管理</w:t>
            </w:r>
          </w:p>
          <w:p>
            <w:pPr>
              <w:pStyle w:val="null3"/>
              <w:ind w:firstLine="400"/>
              <w:jc w:val="both"/>
            </w:pPr>
            <w:r>
              <w:rPr>
                <w:rFonts w:ascii="仿宋_GB2312" w:hAnsi="仿宋_GB2312" w:cs="仿宋_GB2312" w:eastAsia="仿宋_GB2312"/>
                <w:sz w:val="20"/>
              </w:rPr>
              <w:t>应具备接收省级监管平台下发的异常车辆名单功能，并向重点用车企业系统下发的功能。</w:t>
            </w:r>
          </w:p>
          <w:p>
            <w:pPr>
              <w:pStyle w:val="null3"/>
            </w:pPr>
            <w:r>
              <w:rPr>
                <w:rFonts w:ascii="仿宋_GB2312" w:hAnsi="仿宋_GB2312" w:cs="仿宋_GB2312" w:eastAsia="仿宋_GB2312"/>
                <w:sz w:val="20"/>
                <w:b/>
              </w:rPr>
              <w:t>管控策略</w:t>
            </w:r>
            <w:r>
              <w:rPr>
                <w:rFonts w:ascii="仿宋_GB2312" w:hAnsi="仿宋_GB2312" w:cs="仿宋_GB2312" w:eastAsia="仿宋_GB2312"/>
                <w:sz w:val="20"/>
                <w:b/>
              </w:rPr>
              <w:t>审核下发</w:t>
            </w:r>
          </w:p>
          <w:p>
            <w:pPr>
              <w:pStyle w:val="null3"/>
              <w:ind w:firstLine="400"/>
              <w:jc w:val="both"/>
            </w:pPr>
            <w:r>
              <w:rPr>
                <w:rFonts w:ascii="仿宋_GB2312" w:hAnsi="仿宋_GB2312" w:cs="仿宋_GB2312" w:eastAsia="仿宋_GB2312"/>
                <w:sz w:val="20"/>
              </w:rPr>
              <w:t>应具备对重点用车企业系统上报的管控措施审核功能，对未通过审核的管控措施，退回重点用车企业系统。应具备向重点用车企业系统下发重污染天气移动源管控策略的功能，监管平台应支持按地区、按行业类型批量导入、手动修改等便利的管控策略输入方式。</w:t>
            </w:r>
          </w:p>
          <w:p>
            <w:pPr>
              <w:pStyle w:val="null3"/>
            </w:pPr>
            <w:r>
              <w:rPr>
                <w:rFonts w:ascii="仿宋_GB2312" w:hAnsi="仿宋_GB2312" w:cs="仿宋_GB2312" w:eastAsia="仿宋_GB2312"/>
                <w:sz w:val="20"/>
                <w:b/>
              </w:rPr>
              <w:t>报警管理</w:t>
            </w:r>
          </w:p>
          <w:p>
            <w:pPr>
              <w:pStyle w:val="null3"/>
              <w:ind w:firstLine="560"/>
              <w:jc w:val="both"/>
            </w:pPr>
            <w:r>
              <w:rPr>
                <w:rFonts w:ascii="仿宋_GB2312" w:hAnsi="仿宋_GB2312" w:cs="仿宋_GB2312" w:eastAsia="仿宋_GB2312"/>
                <w:sz w:val="20"/>
              </w:rPr>
              <w:t>应具备对违反管控策略车辆等信息可通过</w:t>
            </w:r>
            <w:r>
              <w:rPr>
                <w:rFonts w:ascii="仿宋_GB2312" w:hAnsi="仿宋_GB2312" w:cs="仿宋_GB2312" w:eastAsia="仿宋_GB2312"/>
                <w:sz w:val="20"/>
              </w:rPr>
              <w:t>VPN通道实现短信方式推送报警信息，并自动保存车辆违规出入记录、抓拍图片等相关信息，作为违规问题的溯源档案，支撑执法监管。应具备企业端环保门禁及视频</w:t>
            </w:r>
            <w:r>
              <w:rPr>
                <w:rFonts w:ascii="仿宋_GB2312" w:hAnsi="仿宋_GB2312" w:cs="仿宋_GB2312" w:eastAsia="仿宋_GB2312"/>
                <w:sz w:val="20"/>
              </w:rPr>
              <w:t>监管系统</w:t>
            </w:r>
            <w:r>
              <w:rPr>
                <w:rFonts w:ascii="仿宋_GB2312" w:hAnsi="仿宋_GB2312" w:cs="仿宋_GB2312" w:eastAsia="仿宋_GB2312"/>
                <w:sz w:val="20"/>
              </w:rPr>
              <w:t>运行维护异常、网络中断等的识别和报警功能。</w:t>
            </w:r>
          </w:p>
          <w:p>
            <w:pPr>
              <w:pStyle w:val="null3"/>
            </w:pPr>
            <w:r>
              <w:rPr>
                <w:rFonts w:ascii="仿宋_GB2312" w:hAnsi="仿宋_GB2312" w:cs="仿宋_GB2312" w:eastAsia="仿宋_GB2312"/>
                <w:sz w:val="20"/>
                <w:b/>
              </w:rPr>
              <w:t>数据上报</w:t>
            </w:r>
          </w:p>
          <w:p>
            <w:pPr>
              <w:pStyle w:val="null3"/>
              <w:ind w:firstLine="560"/>
              <w:jc w:val="both"/>
            </w:pPr>
            <w:r>
              <w:rPr>
                <w:rFonts w:ascii="仿宋_GB2312" w:hAnsi="仿宋_GB2312" w:cs="仿宋_GB2312" w:eastAsia="仿宋_GB2312"/>
                <w:sz w:val="20"/>
              </w:rPr>
              <w:t>应具备数据传输率（接受量</w:t>
            </w:r>
            <w:r>
              <w:rPr>
                <w:rFonts w:ascii="仿宋_GB2312" w:hAnsi="仿宋_GB2312" w:cs="仿宋_GB2312" w:eastAsia="仿宋_GB2312"/>
                <w:sz w:val="20"/>
              </w:rPr>
              <w:t>/上报量）实时统计的功能，形成日报。数据传输率统计信息应在监管系统管理页面中实时呈现。应预留与省级信息平台对接接口，按照省级信息平台的要求将数据上报给省级信息平台。</w:t>
            </w:r>
          </w:p>
          <w:p>
            <w:pPr>
              <w:pStyle w:val="null3"/>
            </w:pPr>
            <w:r>
              <w:rPr>
                <w:rFonts w:ascii="仿宋_GB2312" w:hAnsi="仿宋_GB2312" w:cs="仿宋_GB2312" w:eastAsia="仿宋_GB2312"/>
                <w:sz w:val="20"/>
                <w:b/>
              </w:rPr>
              <w:t>响应评估</w:t>
            </w:r>
          </w:p>
          <w:p>
            <w:pPr>
              <w:pStyle w:val="null3"/>
              <w:ind w:firstLine="529"/>
              <w:jc w:val="both"/>
            </w:pPr>
            <w:r>
              <w:rPr>
                <w:rFonts w:ascii="仿宋_GB2312" w:hAnsi="仿宋_GB2312" w:cs="仿宋_GB2312" w:eastAsia="仿宋_GB2312"/>
                <w:sz w:val="20"/>
              </w:rPr>
              <w:t>应具备按照属地、行业类型、管控策略、企业等多条件组合统计日常运输情况（包括不同排放标准、燃料类型、进出车辆数、运输货物量等）、预警响应期间实际运输情况等内容的功能，并形成移动源减排措施评估报告。</w:t>
            </w:r>
          </w:p>
          <w:p>
            <w:pPr>
              <w:pStyle w:val="null3"/>
            </w:pPr>
            <w:r>
              <w:rPr>
                <w:rFonts w:ascii="仿宋_GB2312" w:hAnsi="仿宋_GB2312" w:cs="仿宋_GB2312" w:eastAsia="仿宋_GB2312"/>
                <w:sz w:val="20"/>
                <w:b/>
              </w:rPr>
              <w:t>区县级分级应用</w:t>
            </w:r>
          </w:p>
          <w:p>
            <w:pPr>
              <w:pStyle w:val="null3"/>
              <w:ind w:firstLine="560"/>
              <w:jc w:val="both"/>
            </w:pPr>
            <w:r>
              <w:rPr>
                <w:rFonts w:ascii="仿宋_GB2312" w:hAnsi="仿宋_GB2312" w:cs="仿宋_GB2312" w:eastAsia="仿宋_GB2312"/>
                <w:sz w:val="20"/>
              </w:rPr>
              <w:t>铜川市是</w:t>
            </w:r>
            <w:r>
              <w:rPr>
                <w:rFonts w:ascii="仿宋_GB2312" w:hAnsi="仿宋_GB2312" w:cs="仿宋_GB2312" w:eastAsia="仿宋_GB2312"/>
                <w:sz w:val="20"/>
              </w:rPr>
              <w:t>3个区（王益区、印台区、耀州区）、1个县（宜君县），1个开发区（经济技术开发区）分局，各区县级分局作为辖区各企业的行政管辖者和直接责任人，其管理权限是直接归属市生态环境局，但根据重污染天气管控要求，在重污染天气管控期间，由市级直接对各企业进行管控，区县级分局也需要对管控期间的情况进行充分了解及掌握，因此，本系统根据管控措施与管控要求，按要求在系统平台中赋予区县级具备浏览及查看本辖区内企业管控情况的权限，各区县无需另行申报，避免资源浪费。</w:t>
            </w:r>
          </w:p>
          <w:p>
            <w:pPr>
              <w:pStyle w:val="null3"/>
            </w:pPr>
            <w:r>
              <w:rPr>
                <w:rFonts w:ascii="仿宋_GB2312" w:hAnsi="仿宋_GB2312" w:cs="仿宋_GB2312" w:eastAsia="仿宋_GB2312"/>
                <w:sz w:val="20"/>
                <w:b/>
              </w:rPr>
              <w:t>运行维护</w:t>
            </w:r>
            <w:r>
              <w:rPr>
                <w:rFonts w:ascii="仿宋_GB2312" w:hAnsi="仿宋_GB2312" w:cs="仿宋_GB2312" w:eastAsia="仿宋_GB2312"/>
                <w:sz w:val="20"/>
                <w:b/>
              </w:rPr>
              <w:t>方案</w:t>
            </w:r>
          </w:p>
          <w:p>
            <w:pPr>
              <w:pStyle w:val="null3"/>
              <w:ind w:firstLine="560"/>
              <w:jc w:val="both"/>
            </w:pPr>
            <w:r>
              <w:rPr>
                <w:rFonts w:ascii="仿宋_GB2312" w:hAnsi="仿宋_GB2312" w:cs="仿宋_GB2312" w:eastAsia="仿宋_GB2312"/>
                <w:sz w:val="20"/>
              </w:rPr>
              <w:t>本项目中涉及运维的工作有系统平台运维、数据库运维、信息安全运维、网络通讯线路运维、企业端软件系统和硬件设备运维等五方面。其中系统平台运维、数据库运维、信息安全运维由市级监管端建设方负责进行；网络通讯线路运维交由运营商负责；企业端软件系统和硬件设备运维由企业方负责。</w:t>
            </w:r>
          </w:p>
          <w:p>
            <w:pPr>
              <w:pStyle w:val="null3"/>
              <w:ind w:firstLine="560"/>
              <w:jc w:val="both"/>
            </w:pPr>
            <w:r>
              <w:rPr>
                <w:rFonts w:ascii="仿宋_GB2312" w:hAnsi="仿宋_GB2312" w:cs="仿宋_GB2312" w:eastAsia="仿宋_GB2312"/>
                <w:sz w:val="20"/>
                <w:b/>
              </w:rPr>
              <w:t>系统平台运维</w:t>
            </w:r>
          </w:p>
          <w:p>
            <w:pPr>
              <w:pStyle w:val="null3"/>
              <w:ind w:firstLine="560"/>
              <w:jc w:val="both"/>
            </w:pPr>
            <w:r>
              <w:rPr>
                <w:rFonts w:ascii="仿宋_GB2312" w:hAnsi="仿宋_GB2312" w:cs="仿宋_GB2312" w:eastAsia="仿宋_GB2312"/>
                <w:sz w:val="20"/>
              </w:rPr>
              <w:t>负责市级监管平台在污染天气管控期间启用平台系统的日常管理，由市级监管端操作人员</w:t>
            </w:r>
            <w:r>
              <w:rPr>
                <w:rFonts w:ascii="仿宋_GB2312" w:hAnsi="仿宋_GB2312" w:cs="仿宋_GB2312" w:eastAsia="仿宋_GB2312"/>
                <w:sz w:val="20"/>
              </w:rPr>
              <w:t>每日</w:t>
            </w:r>
            <w:r>
              <w:rPr>
                <w:rFonts w:ascii="仿宋_GB2312" w:hAnsi="仿宋_GB2312" w:cs="仿宋_GB2312" w:eastAsia="仿宋_GB2312"/>
                <w:sz w:val="20"/>
              </w:rPr>
              <w:t>检查平台界面、功能模块、网络通讯及数据与信息交到等功能模块运行情况，及时将故障现象交由运维部门进行处理。运维部门需</w:t>
            </w:r>
            <w:r>
              <w:rPr>
                <w:rFonts w:ascii="仿宋_GB2312" w:hAnsi="仿宋_GB2312" w:cs="仿宋_GB2312" w:eastAsia="仿宋_GB2312"/>
                <w:sz w:val="20"/>
              </w:rPr>
              <w:t>24小时内解决故障。所有运维人员实行24小时轮班制度，确保发现问题及时处理问题。</w:t>
            </w:r>
          </w:p>
          <w:p>
            <w:pPr>
              <w:pStyle w:val="null3"/>
              <w:ind w:firstLine="560"/>
              <w:jc w:val="both"/>
            </w:pPr>
            <w:r>
              <w:rPr>
                <w:rFonts w:ascii="仿宋_GB2312" w:hAnsi="仿宋_GB2312" w:cs="仿宋_GB2312" w:eastAsia="仿宋_GB2312"/>
                <w:sz w:val="20"/>
              </w:rPr>
              <w:t>市级监管端需</w:t>
            </w:r>
            <w:r>
              <w:rPr>
                <w:rFonts w:ascii="仿宋_GB2312" w:hAnsi="仿宋_GB2312" w:cs="仿宋_GB2312" w:eastAsia="仿宋_GB2312"/>
                <w:sz w:val="20"/>
              </w:rPr>
              <w:t>及时</w:t>
            </w:r>
            <w:r>
              <w:rPr>
                <w:rFonts w:ascii="仿宋_GB2312" w:hAnsi="仿宋_GB2312" w:cs="仿宋_GB2312" w:eastAsia="仿宋_GB2312"/>
                <w:sz w:val="20"/>
              </w:rPr>
              <w:t>轮巡检查市级监管端、区县级分级应用、企业端的使用情况，发现问题及时提交运维部门进行故障排除。区县级分级应用人员在操作过程中发现和出现故障后，需第一时间上报市级监管端，由市级监管端人员提交运维部门进行跟进处理与排除。</w:t>
            </w:r>
          </w:p>
          <w:p>
            <w:pPr>
              <w:pStyle w:val="null3"/>
              <w:ind w:firstLine="560"/>
              <w:jc w:val="both"/>
            </w:pPr>
            <w:r>
              <w:rPr>
                <w:rFonts w:ascii="仿宋_GB2312" w:hAnsi="仿宋_GB2312" w:cs="仿宋_GB2312" w:eastAsia="仿宋_GB2312"/>
                <w:sz w:val="20"/>
                <w:b/>
              </w:rPr>
              <w:t>数据库运维</w:t>
            </w:r>
          </w:p>
          <w:p>
            <w:pPr>
              <w:pStyle w:val="null3"/>
              <w:ind w:firstLine="560"/>
              <w:jc w:val="both"/>
            </w:pPr>
            <w:r>
              <w:rPr>
                <w:rFonts w:ascii="仿宋_GB2312" w:hAnsi="仿宋_GB2312" w:cs="仿宋_GB2312" w:eastAsia="仿宋_GB2312"/>
                <w:sz w:val="20"/>
              </w:rPr>
              <w:t>市级监管端负责所有数据库的运维，区县与企业均不得对任何数据进行未经授权的操作处理。如遇不可抗力导致出现数据信息损坏或丢失等情况，均需第一时间上报市级监管平台，由市级监管端委派运维人员进行处理。</w:t>
            </w:r>
          </w:p>
          <w:p>
            <w:pPr>
              <w:pStyle w:val="null3"/>
              <w:ind w:firstLine="560"/>
              <w:jc w:val="both"/>
            </w:pPr>
            <w:r>
              <w:rPr>
                <w:rFonts w:ascii="仿宋_GB2312" w:hAnsi="仿宋_GB2312" w:cs="仿宋_GB2312" w:eastAsia="仿宋_GB2312"/>
                <w:sz w:val="20"/>
                <w:b/>
              </w:rPr>
              <w:t>信息安全运维</w:t>
            </w:r>
          </w:p>
          <w:p>
            <w:pPr>
              <w:pStyle w:val="null3"/>
              <w:ind w:firstLine="560"/>
              <w:jc w:val="both"/>
            </w:pPr>
            <w:r>
              <w:rPr>
                <w:rFonts w:ascii="仿宋_GB2312" w:hAnsi="仿宋_GB2312" w:cs="仿宋_GB2312" w:eastAsia="仿宋_GB2312"/>
                <w:sz w:val="20"/>
              </w:rPr>
              <w:t>由市级监管端负责市一级的数据安全与运维管理，所有进入市级监管平台系统的信息均按信息安全要求进地了相关安全加密处理。市级监管端与区县级分级应用、企业端之间的数据信息交到均是通过专网线路进行，与外网采用逻辑隔离处理。相关信息均按要求存入市级监管平台专用服务器内并做加密处理。企业端只能查看本企业信息，无查看其它企业信息的权限，企业需对在本企业端获取和存储的所有信息负有信息安全责任。</w:t>
            </w:r>
          </w:p>
          <w:p>
            <w:pPr>
              <w:pStyle w:val="null3"/>
              <w:ind w:firstLine="560"/>
              <w:jc w:val="both"/>
            </w:pPr>
            <w:r>
              <w:rPr>
                <w:rFonts w:ascii="仿宋_GB2312" w:hAnsi="仿宋_GB2312" w:cs="仿宋_GB2312" w:eastAsia="仿宋_GB2312"/>
                <w:sz w:val="20"/>
                <w:b/>
              </w:rPr>
              <w:t>网络通讯线路运维</w:t>
            </w:r>
          </w:p>
          <w:p>
            <w:pPr>
              <w:pStyle w:val="null3"/>
              <w:ind w:firstLine="560"/>
              <w:jc w:val="both"/>
            </w:pPr>
            <w:r>
              <w:rPr>
                <w:rFonts w:ascii="仿宋_GB2312" w:hAnsi="仿宋_GB2312" w:cs="仿宋_GB2312" w:eastAsia="仿宋_GB2312"/>
                <w:sz w:val="20"/>
              </w:rPr>
              <w:t>基于网络安全及线路安全要求，本项目所涉及的所有专网通讯线路，均一次性打包交由运营商来负责进行日常运维管理。</w:t>
            </w:r>
          </w:p>
          <w:p>
            <w:pPr>
              <w:pStyle w:val="null3"/>
              <w:ind w:firstLine="560"/>
              <w:jc w:val="both"/>
            </w:pPr>
            <w:r>
              <w:rPr>
                <w:rFonts w:ascii="仿宋_GB2312" w:hAnsi="仿宋_GB2312" w:cs="仿宋_GB2312" w:eastAsia="仿宋_GB2312"/>
                <w:sz w:val="20"/>
              </w:rPr>
              <w:t>企业端软件系统和硬件设备按照权属及资产归属原则，由企业自行负责。原则上要求必须确保系统与设备的正常运行，不得影响重污染天气期间管控措施的落实实施。</w:t>
            </w:r>
            <w:r>
              <w:rPr>
                <w:rFonts w:ascii="仿宋_GB2312" w:hAnsi="仿宋_GB2312" w:cs="仿宋_GB2312" w:eastAsia="仿宋_GB2312"/>
                <w:sz w:val="20"/>
              </w:rPr>
              <w:t>项目采购清单</w:t>
            </w:r>
            <w:r>
              <w:rPr>
                <w:rFonts w:ascii="仿宋_GB2312" w:hAnsi="仿宋_GB2312" w:cs="仿宋_GB2312" w:eastAsia="仿宋_GB2312"/>
                <w:sz w:val="20"/>
              </w:rPr>
              <w:t>明细</w:t>
            </w:r>
            <w:r>
              <w:rPr>
                <w:rFonts w:ascii="仿宋_GB2312" w:hAnsi="仿宋_GB2312" w:cs="仿宋_GB2312" w:eastAsia="仿宋_GB2312"/>
                <w:sz w:val="20"/>
              </w:rPr>
              <w:t>表</w:t>
            </w:r>
          </w:p>
          <w:tbl>
            <w:tblPr>
              <w:tblInd w:type="dxa" w:w="135"/>
              <w:tblBorders>
                <w:top w:val="none" w:color="000000" w:sz="4"/>
                <w:left w:val="none" w:color="000000" w:sz="4"/>
                <w:bottom w:val="none" w:color="000000" w:sz="4"/>
                <w:right w:val="none" w:color="000000" w:sz="4"/>
                <w:insideH w:val="none"/>
                <w:insideV w:val="none"/>
              </w:tblBorders>
            </w:tblPr>
            <w:tblGrid>
              <w:gridCol w:w="224"/>
              <w:gridCol w:w="1072"/>
              <w:gridCol w:w="424"/>
              <w:gridCol w:w="425"/>
              <w:gridCol w:w="403"/>
            </w:tblGrid>
            <w:tr>
              <w:tc>
                <w:tcPr>
                  <w:tcW w:type="dxa" w:w="2548"/>
                  <w:gridSpan w:val="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表</w:t>
                  </w:r>
                  <w:r>
                    <w:rPr>
                      <w:rFonts w:ascii="仿宋_GB2312" w:hAnsi="仿宋_GB2312" w:cs="仿宋_GB2312" w:eastAsia="仿宋_GB2312"/>
                      <w:sz w:val="20"/>
                    </w:rPr>
                    <w:t>1 采购清单总表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0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w:t>
                  </w:r>
                </w:p>
              </w:tc>
              <w:tc>
                <w:tcPr>
                  <w:tcW w:type="dxa" w:w="4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总价（万元）</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1</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left"/>
                  </w:pPr>
                  <w:r>
                    <w:rPr>
                      <w:rFonts w:ascii="仿宋_GB2312" w:hAnsi="仿宋_GB2312" w:cs="仿宋_GB2312" w:eastAsia="仿宋_GB2312"/>
                      <w:sz w:val="20"/>
                    </w:rPr>
                    <w:t>重点用车企业环保门禁监管平台</w:t>
                  </w:r>
                </w:p>
                <w:p>
                  <w:pPr>
                    <w:pStyle w:val="null3"/>
                    <w:spacing w:before="120" w:after="120"/>
                    <w:jc w:val="left"/>
                  </w:pPr>
                  <w:r>
                    <w:rPr>
                      <w:rFonts w:ascii="仿宋_GB2312" w:hAnsi="仿宋_GB2312" w:cs="仿宋_GB2312" w:eastAsia="仿宋_GB2312"/>
                      <w:sz w:val="20"/>
                    </w:rPr>
                    <w:t>（含</w:t>
                  </w:r>
                  <w:r>
                    <w:rPr>
                      <w:rFonts w:ascii="仿宋_GB2312" w:hAnsi="仿宋_GB2312" w:cs="仿宋_GB2312" w:eastAsia="仿宋_GB2312"/>
                      <w:sz w:val="20"/>
                    </w:rPr>
                    <w:t>3</w:t>
                  </w:r>
                  <w:r>
                    <w:rPr>
                      <w:rFonts w:ascii="仿宋_GB2312" w:hAnsi="仿宋_GB2312" w:cs="仿宋_GB2312" w:eastAsia="仿宋_GB2312"/>
                      <w:sz w:val="20"/>
                    </w:rPr>
                    <w:t>个区、</w:t>
                  </w:r>
                  <w:r>
                    <w:rPr>
                      <w:rFonts w:ascii="仿宋_GB2312" w:hAnsi="仿宋_GB2312" w:cs="仿宋_GB2312" w:eastAsia="仿宋_GB2312"/>
                      <w:sz w:val="20"/>
                    </w:rPr>
                    <w:t>1</w:t>
                  </w:r>
                  <w:r>
                    <w:rPr>
                      <w:rFonts w:ascii="仿宋_GB2312" w:hAnsi="仿宋_GB2312" w:cs="仿宋_GB2312" w:eastAsia="仿宋_GB2312"/>
                      <w:sz w:val="20"/>
                    </w:rPr>
                    <w:t>个县、</w:t>
                  </w:r>
                  <w:r>
                    <w:rPr>
                      <w:rFonts w:ascii="仿宋_GB2312" w:hAnsi="仿宋_GB2312" w:cs="仿宋_GB2312" w:eastAsia="仿宋_GB2312"/>
                      <w:sz w:val="20"/>
                    </w:rPr>
                    <w:t>1</w:t>
                  </w:r>
                  <w:r>
                    <w:rPr>
                      <w:rFonts w:ascii="仿宋_GB2312" w:hAnsi="仿宋_GB2312" w:cs="仿宋_GB2312" w:eastAsia="仿宋_GB2312"/>
                      <w:sz w:val="20"/>
                    </w:rPr>
                    <w:t>个经济技术开发区分局分级应用）</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2</w:t>
                  </w:r>
                </w:p>
              </w:tc>
              <w:tc>
                <w:tcPr>
                  <w:tcW w:type="dxa" w:w="10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三年免费运行维护</w:t>
                  </w:r>
                </w:p>
              </w:tc>
              <w:tc>
                <w:tcPr>
                  <w:tcW w:type="dxa" w:w="4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年</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1</w:t>
                  </w:r>
                </w:p>
              </w:tc>
              <w:tc>
                <w:tcPr>
                  <w:tcW w:type="dxa" w:w="4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0</w:t>
                  </w:r>
                </w:p>
              </w:tc>
            </w:tr>
          </w:tbl>
          <w:p>
            <w:pPr>
              <w:pStyle w:val="null3"/>
              <w:ind w:firstLine="560"/>
              <w:jc w:val="both"/>
            </w:pPr>
            <w:r>
              <w:rPr>
                <w:rFonts w:ascii="仿宋_GB2312" w:hAnsi="仿宋_GB2312" w:cs="仿宋_GB2312" w:eastAsia="仿宋_GB2312"/>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163"/>
              <w:gridCol w:w="246"/>
              <w:gridCol w:w="275"/>
              <w:gridCol w:w="972"/>
              <w:gridCol w:w="146"/>
              <w:gridCol w:w="180"/>
              <w:gridCol w:w="266"/>
              <w:gridCol w:w="305"/>
            </w:tblGrid>
            <w:tr>
              <w:tc>
                <w:tcPr>
                  <w:tcW w:type="dxa" w:w="2553"/>
                  <w:gridSpan w:val="8"/>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表</w:t>
                  </w:r>
                  <w:r>
                    <w:rPr>
                      <w:rFonts w:ascii="仿宋_GB2312" w:hAnsi="仿宋_GB2312" w:cs="仿宋_GB2312" w:eastAsia="仿宋_GB2312"/>
                      <w:sz w:val="20"/>
                    </w:rPr>
                    <w:t xml:space="preserve">2 </w:t>
                  </w:r>
                  <w:r>
                    <w:rPr>
                      <w:rFonts w:ascii="仿宋_GB2312" w:hAnsi="仿宋_GB2312" w:cs="仿宋_GB2312" w:eastAsia="仿宋_GB2312"/>
                      <w:sz w:val="20"/>
                    </w:rPr>
                    <w:t>采购清单表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序号</w:t>
                  </w:r>
                </w:p>
              </w:tc>
              <w:tc>
                <w:tcPr>
                  <w:tcW w:type="dxa" w:w="2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系统名称</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功能特点</w:t>
                  </w: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功能点说明</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数量</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单位</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单价</w:t>
                  </w:r>
                  <w:r>
                    <w:rPr>
                      <w:rFonts w:ascii="仿宋_GB2312" w:hAnsi="仿宋_GB2312" w:cs="仿宋_GB2312" w:eastAsia="仿宋_GB2312"/>
                      <w:sz w:val="20"/>
                    </w:rPr>
                    <w:t>(</w:t>
                  </w:r>
                  <w:r>
                    <w:rPr>
                      <w:rFonts w:ascii="仿宋_GB2312" w:hAnsi="仿宋_GB2312" w:cs="仿宋_GB2312" w:eastAsia="仿宋_GB2312"/>
                      <w:sz w:val="20"/>
                    </w:rPr>
                    <w:t>万元</w:t>
                  </w:r>
                  <w:r>
                    <w:rPr>
                      <w:rFonts w:ascii="仿宋_GB2312" w:hAnsi="仿宋_GB2312" w:cs="仿宋_GB2312" w:eastAsia="仿宋_GB2312"/>
                      <w:sz w:val="20"/>
                    </w:rPr>
                    <w:t>)</w:t>
                  </w: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总价</w:t>
                  </w:r>
                  <w:r>
                    <w:rPr>
                      <w:rFonts w:ascii="仿宋_GB2312" w:hAnsi="仿宋_GB2312" w:cs="仿宋_GB2312" w:eastAsia="仿宋_GB2312"/>
                      <w:sz w:val="20"/>
                    </w:rPr>
                    <w:t>(</w:t>
                  </w:r>
                  <w:r>
                    <w:rPr>
                      <w:rFonts w:ascii="仿宋_GB2312" w:hAnsi="仿宋_GB2312" w:cs="仿宋_GB2312" w:eastAsia="仿宋_GB2312"/>
                      <w:sz w:val="20"/>
                    </w:rPr>
                    <w:t>万元</w:t>
                  </w:r>
                  <w:r>
                    <w:rPr>
                      <w:rFonts w:ascii="仿宋_GB2312" w:hAnsi="仿宋_GB2312" w:cs="仿宋_GB2312" w:eastAsia="仿宋_GB2312"/>
                      <w:sz w:val="20"/>
                    </w:rPr>
                    <w:t>)</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一</w:t>
                  </w:r>
                </w:p>
              </w:tc>
              <w:tc>
                <w:tcPr>
                  <w:tcW w:type="dxa" w:w="2390"/>
                  <w:gridSpan w:val="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铜川市重点用车企业环保门禁监管平台建设项目</w:t>
                  </w: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1</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数据查询与汇总</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数据统计</w:t>
                  </w: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以折线图、柱状图、饼状图等显示企业用车统计、车辆违规信息统计等</w:t>
                  </w:r>
                </w:p>
              </w:tc>
              <w:tc>
                <w:tcPr>
                  <w:tcW w:type="dxa" w:w="1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出入记录查询与汇总</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出入车辆数据进行管理、查询与储存</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进出厂车辆台账</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详细记录进出厂车辆情况，包括企业名称、车牌号码、排放阶段、燃料类型、号牌颜色、出入口编号、道闸编号、管控状态、进厂时间、出厂时间</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场内运输车辆台账</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详细记录场内运输车辆情况，包括企业名称、车牌号码、排放阶段、燃料类型、号牌颜色、出入口编号、道闸编号、管控状态、进厂时间、出厂时间</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非道路机械台账</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详细记录非道路机械情况，包括企业名称、车牌号码、排放阶段、燃料类型、号牌颜色、出入口编号、道闸编号、管控状态、进厂时间、出厂时间</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企业信息管理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企业信息审核</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可对企业基本信息包括名称、地址等信息进行审核、修改</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企业信息列表</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可显示企业基本信息包括名称、地址等信息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实时视频监控</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点击设备名称都可以实现远程视频实时播放</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车辆管理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进出厂车辆信息库</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进出厂车辆车辆数据进行管理、查询与储存</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场内运输车辆信息库</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场内运输车辆数据进行管理、查询与储存</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非道路移动机械信息库</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非道路移动机械车辆数据进行管理、查询与储存</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车辆信息校验管理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车辆信息校验</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显示机动车和非道路移动机械环保信息查询平台等数据进行校验形成的未下发问题车辆名单</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疑似车辆下发</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显示待处理下发和已下发的疑似问题车辆名单，可通过关键字查询</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疑似车辆管理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疑似车辆接收</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显示待审核疑似车辆信息名单</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疑似车辆核实</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对疑似车辆的情况进行的核实</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2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异常车辆管理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异常车辆管理</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显示异常车辆信息名单</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管控策略</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管控策略下发</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显示当前重污染天气具体的管控策略，包括预警级别、响应级别等</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管控策略审核</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可对下发至企业执行的管控策略进行审核，包括响应开始时间、管控类型等</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报警管理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车辆进出报警</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可显示当前未推送的违规车辆信息，对当前未推送违规车辆信息进行报警提示，显示当前已推送的违规车辆信息</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运行维护异常</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对运行维护异常推送进行报警提示，可通过关键字查询</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运维申请审核</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对企业申请运维信息进行审核，审核不通过则退回至企业</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数据上报</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数据上报</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将数据上报至省级监管平台</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数据漏传报警</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对数据漏传进行报警提示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2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响应评估</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响应评估概况</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按照属地、行业类型、管控策略、企业等多条件组合统计，形成移动源减排措施评估报告</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4</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vMerge/>
                  <w:tcBorders>
                    <w:top w:val="none" w:color="000000" w:sz="4"/>
                    <w:left w:val="single" w:color="000000" w:sz="4"/>
                    <w:bottom w:val="single" w:color="000000" w:sz="4"/>
                    <w:right w:val="single" w:color="000000" w:sz="4"/>
                  </w:tcBorders>
                </w:tcPr>
                <w:p/>
              </w:tc>
              <w:tc>
                <w:tcPr>
                  <w:tcW w:type="dxa" w:w="246"/>
                  <w:vMerge/>
                  <w:tcBorders>
                    <w:top w:val="none" w:color="000000" w:sz="4"/>
                    <w:left w:val="none" w:color="000000" w:sz="4"/>
                    <w:bottom w:val="single" w:color="000000" w:sz="4"/>
                    <w:right w:val="single" w:color="000000" w:sz="4"/>
                  </w:tcBorders>
                </w:tcP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响应评估报告导出</w:t>
                  </w:r>
                </w:p>
              </w:tc>
              <w:tc>
                <w:tcPr>
                  <w:tcW w:type="dxa" w:w="9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形成移动源减排措施评估报告的导出</w:t>
                  </w:r>
                </w:p>
              </w:tc>
              <w:tc>
                <w:tcPr>
                  <w:tcW w:type="dxa" w:w="1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3</w:t>
                  </w:r>
                </w:p>
              </w:tc>
              <w:tc>
                <w:tcPr>
                  <w:tcW w:type="dxa" w:w="1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区县级分级应用</w:t>
                  </w: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区县权限</w:t>
                  </w:r>
                </w:p>
              </w:tc>
              <w:tc>
                <w:tcPr>
                  <w:tcW w:type="dxa" w:w="9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区县级具备浏览及查看本辖区内企业管控情况的权限</w:t>
                  </w:r>
                </w:p>
              </w:tc>
              <w:tc>
                <w:tcPr>
                  <w:tcW w:type="dxa" w:w="1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4</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人</w:t>
                  </w:r>
                  <w:r>
                    <w:rPr>
                      <w:rFonts w:ascii="仿宋_GB2312" w:hAnsi="仿宋_GB2312" w:cs="仿宋_GB2312" w:eastAsia="仿宋_GB2312"/>
                      <w:sz w:val="20"/>
                    </w:rPr>
                    <w:t>*</w:t>
                  </w:r>
                  <w:r>
                    <w:rPr>
                      <w:rFonts w:ascii="仿宋_GB2312" w:hAnsi="仿宋_GB2312" w:cs="仿宋_GB2312" w:eastAsia="仿宋_GB2312"/>
                      <w:sz w:val="20"/>
                    </w:rPr>
                    <w:t>月</w:t>
                  </w:r>
                </w:p>
              </w:tc>
              <w:tc>
                <w:tcPr>
                  <w:tcW w:type="dxa" w:w="2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数据联网</w:t>
                  </w: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平台数据市级联网传输</w:t>
                  </w:r>
                </w:p>
              </w:tc>
              <w:tc>
                <w:tcPr>
                  <w:tcW w:type="dxa" w:w="9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负责将铜川市重点用车企业环保门禁监管平台数据联网传输至甲方大数据平台</w:t>
                  </w:r>
                </w:p>
              </w:tc>
              <w:tc>
                <w:tcPr>
                  <w:tcW w:type="dxa" w:w="1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1</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项</w:t>
                  </w:r>
                </w:p>
              </w:tc>
              <w:tc>
                <w:tcPr>
                  <w:tcW w:type="dxa" w:w="2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3"/>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2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企业端联网</w:t>
                  </w:r>
                </w:p>
              </w:tc>
              <w:tc>
                <w:tcPr>
                  <w:tcW w:type="dxa" w:w="27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企业端联网</w:t>
                  </w:r>
                </w:p>
              </w:tc>
              <w:tc>
                <w:tcPr>
                  <w:tcW w:type="dxa" w:w="97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负责</w:t>
                  </w:r>
                  <w:r>
                    <w:rPr>
                      <w:rFonts w:ascii="仿宋_GB2312" w:hAnsi="仿宋_GB2312" w:cs="仿宋_GB2312" w:eastAsia="仿宋_GB2312"/>
                      <w:sz w:val="20"/>
                    </w:rPr>
                    <w:t>1</w:t>
                  </w:r>
                  <w:r>
                    <w:rPr>
                      <w:rFonts w:ascii="仿宋_GB2312" w:hAnsi="仿宋_GB2312" w:cs="仿宋_GB2312" w:eastAsia="仿宋_GB2312"/>
                      <w:sz w:val="20"/>
                    </w:rPr>
                    <w:t>年</w:t>
                  </w:r>
                  <w:r>
                    <w:rPr>
                      <w:rFonts w:ascii="仿宋_GB2312" w:hAnsi="仿宋_GB2312" w:cs="仿宋_GB2312" w:eastAsia="仿宋_GB2312"/>
                      <w:sz w:val="20"/>
                    </w:rPr>
                    <w:t>80</w:t>
                  </w:r>
                  <w:r>
                    <w:rPr>
                      <w:rFonts w:ascii="仿宋_GB2312" w:hAnsi="仿宋_GB2312" w:cs="仿宋_GB2312" w:eastAsia="仿宋_GB2312"/>
                      <w:sz w:val="20"/>
                    </w:rPr>
                    <w:t>家企业环保门禁及视频监管系统企业端数据联网传输</w:t>
                  </w:r>
                </w:p>
              </w:tc>
              <w:tc>
                <w:tcPr>
                  <w:tcW w:type="dxa" w:w="14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80</w:t>
                  </w:r>
                </w:p>
              </w:tc>
              <w:tc>
                <w:tcPr>
                  <w:tcW w:type="dxa" w:w="18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r>
                    <w:rPr>
                      <w:rFonts w:ascii="仿宋_GB2312" w:hAnsi="仿宋_GB2312" w:cs="仿宋_GB2312" w:eastAsia="仿宋_GB2312"/>
                      <w:sz w:val="20"/>
                    </w:rPr>
                    <w:t>家</w:t>
                  </w:r>
                </w:p>
              </w:tc>
              <w:tc>
                <w:tcPr>
                  <w:tcW w:type="dxa" w:w="26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20" w:after="120"/>
                    <w:jc w:val="center"/>
                  </w:pP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详见采购需求及服务合同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三年免费运行维护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甲方自合同签订之日起达到付款条件</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达到付款条件起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剩余合同总价款的10%，运维服务期满后无息支付 ，达到付款条件起 30 日内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中小企业声明函 残疾人福利性单位声明函 商务应答表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投标函 商务应答表 投标文件封面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 他组织或自然人。其中企业法人应提供有效的 统一社会信用代码的营业执照，事业法人应提 供事业单位法人证、组织机构代码证等证明文 件，其他组织应提供相应的合法证明文件，自 然人提供身份证明文件；</w:t>
            </w:r>
          </w:p>
        </w:tc>
        <w:tc>
          <w:tcPr>
            <w:tcW w:type="dxa" w:w="1661"/>
          </w:tcPr>
          <w:p>
            <w:pPr>
              <w:pStyle w:val="null3"/>
            </w:pPr>
            <w:r>
              <w:rPr>
                <w:rFonts w:ascii="仿宋_GB2312" w:hAnsi="仿宋_GB2312" w:cs="仿宋_GB2312" w:eastAsia="仿宋_GB2312"/>
              </w:rPr>
              <w:t>中小企业声明函 残疾人福利性单位声明函 商务应答表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法定代表人参加投标须提供《法定代表人身份 证明》及身份证复印件；法定代表人授权他人 参加投标，须提供《法定代表人授权委托书》 、委托代理人身份证复印件；</w:t>
            </w:r>
          </w:p>
        </w:tc>
        <w:tc>
          <w:tcPr>
            <w:tcW w:type="dxa" w:w="1661"/>
          </w:tcPr>
          <w:p>
            <w:pPr>
              <w:pStyle w:val="null3"/>
            </w:pPr>
            <w:r>
              <w:rPr>
                <w:rFonts w:ascii="仿宋_GB2312" w:hAnsi="仿宋_GB2312" w:cs="仿宋_GB2312" w:eastAsia="仿宋_GB2312"/>
              </w:rPr>
              <w:t>服务内容及服务邀请应答表 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 录，参加本项目采购活动前三年内无重大违法 活动记录，未列入在信用中国网站“失信被执行 人”、“重大税收违法案件当事人名单”中，也未 列入中国政府采购网“政府采购严重违法失信行 为记录名单”中。 需提供《铜川市政府采购供应 商资格承诺函》；</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投标文件封面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服务内容及服务邀请应答表 中小企业声明函 投标文件封面 投标人应提交的相关资格证明材料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①拟派本项目负责人具有计算机技术与软件等相关专业中级资格的得2.5分； 评审依据：须提供加盖公章的项目负责人资格证书复印件，未提供不得分。 ②拟投入本项目专业技术团队配置合理，除项目负责人外，配备完成本项目所须的相关专业人员，每配1人得1分，最高得5分；评审依据：以加盖公章的专业人员身份证、相关专业技术证书或岗位证书或培训证书、劳动合同复印件为准，未提供不得分。</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提供类似信息化系统的软件著作权，提供一项得1分，最高得5分。注：需提供合法有效期内的证明材料复印件并加盖公章，未提供不得分；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针对本项目技术服务工作中的常见质量和服务问题进行梳理，投标人可根据自身情况对服务标准、过程管理、质量保证、后续服务等方面做出有利于本项目开展的承诺。每提供1条有效承诺，得1分，最高得4分。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提供2022年1月1日至今类似项目业绩，每提供一个计2分，满分6分。 评审依据：以加盖公章的中标通知书或合同协议书复印件为准，未提供不得分。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软件平台功能演示（演示地点同现场开标地点）</w:t>
            </w:r>
          </w:p>
        </w:tc>
        <w:tc>
          <w:tcPr>
            <w:tcW w:type="dxa" w:w="2492"/>
          </w:tcPr>
          <w:p>
            <w:pPr>
              <w:pStyle w:val="null3"/>
            </w:pPr>
            <w:r>
              <w:rPr>
                <w:rFonts w:ascii="仿宋_GB2312" w:hAnsi="仿宋_GB2312" w:cs="仿宋_GB2312" w:eastAsia="仿宋_GB2312"/>
              </w:rPr>
              <w:t>一、评审内容： 以下为演示项，对下列演示项进行系统操作页面进行演示每成功演示一项功能得0.5分，本项最多得7.5分。二、演示内容： 不限于基本信息管理功能软件平台预期功能（基本信息管理功能、车辆信息校验管理功能、管控策略审核下发功能、异常车辆管理功能、数据存储、统计汇总功能、数据查询功能、报警管理功能、疑似问题车辆管理功能、数据上报功能、响应评估功能、车辆信息库、实时视频监控与回放功能、运维申请审核、区县级应用及权限管理）的基本实现，展现形式包括幻灯片、宣传彩页、系统原型等。（以幻灯片、宣传彩页、系统原型进行演示的，专家根据演示优劣程度进行综合评定）.</w:t>
            </w:r>
          </w:p>
        </w:tc>
        <w:tc>
          <w:tcPr>
            <w:tcW w:type="dxa" w:w="831"/>
          </w:tcPr>
          <w:p>
            <w:pPr>
              <w:pStyle w:val="null3"/>
              <w:jc w:val="right"/>
            </w:pPr>
            <w:r>
              <w:rPr>
                <w:rFonts w:ascii="仿宋_GB2312" w:hAnsi="仿宋_GB2312" w:cs="仿宋_GB2312" w:eastAsia="仿宋_GB2312"/>
              </w:rPr>
              <w:t>7.5000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系统架构</w:t>
            </w:r>
          </w:p>
        </w:tc>
        <w:tc>
          <w:tcPr>
            <w:tcW w:type="dxa" w:w="2492"/>
          </w:tcPr>
          <w:p>
            <w:pPr>
              <w:pStyle w:val="null3"/>
            </w:pPr>
            <w:r>
              <w:rPr>
                <w:rFonts w:ascii="仿宋_GB2312" w:hAnsi="仿宋_GB2312" w:cs="仿宋_GB2312" w:eastAsia="仿宋_GB2312"/>
              </w:rPr>
              <w:t>一、评审内容： 供应商提供系统总体技术架构方案设计：①系统整体技术架构、②逻辑架构设计、③网络架构设计等相关内容。 二、评审标准： 1、完整性：方案内容完整全面，对上述各项内容均有详细描述及说明得3分；缺1项得2分；缺2项得1分。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模块设计</w:t>
            </w:r>
          </w:p>
        </w:tc>
        <w:tc>
          <w:tcPr>
            <w:tcW w:type="dxa" w:w="2492"/>
          </w:tcPr>
          <w:p>
            <w:pPr>
              <w:pStyle w:val="null3"/>
            </w:pPr>
            <w:r>
              <w:rPr>
                <w:rFonts w:ascii="仿宋_GB2312" w:hAnsi="仿宋_GB2312" w:cs="仿宋_GB2312" w:eastAsia="仿宋_GB2312"/>
              </w:rPr>
              <w:t>一、评审内容： 供应商提供系统模块设计包括：①接口设计、②平台功能设计满足资源及性能要求、③平台界面效果图等相关内容。 二、评审标准： 1、完整性：方案内容完整全面，对上述各项内容均有详细描述及说明得4分；缺1项得2分；缺2项得1分。 2、针对性：针对性强，得4分；针对性一般，得2分；缺乏针对性，得1分。 3、可实施性：可实施性强，得4分；可实施性一般，得2分；缺乏可实施性，得1分。 4、未提供的不得分。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供应商根据采购需求编制的项目实施方案：①时间进度方案、②项目管理方案、③软件开发方案等相关内容。 二、评审标准： 1、完整性：方案内容完整全面，对上述各项内容均有详细描述及说明得4分；缺1项得2分；缺2项得1分。 2、针对性：针对性强，得4分；针对性一般，得2分；缺乏针对性，得1分。 3、可实施性：可实施性强，得4分；可实施性一般，得2分；缺乏可实施性，得1分。 4、未提供的不得分。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故障解决措施</w:t>
            </w:r>
          </w:p>
        </w:tc>
        <w:tc>
          <w:tcPr>
            <w:tcW w:type="dxa" w:w="2492"/>
          </w:tcPr>
          <w:p>
            <w:pPr>
              <w:pStyle w:val="null3"/>
            </w:pPr>
            <w:r>
              <w:rPr>
                <w:rFonts w:ascii="仿宋_GB2312" w:hAnsi="仿宋_GB2312" w:cs="仿宋_GB2312" w:eastAsia="仿宋_GB2312"/>
              </w:rPr>
              <w:t>一、评审内容： 供应商根据故障解决措施的设置包括：①服务响应时间②紧急故障处理预案③故障恢复时间等相关内容。 二、评审标准： 1、完整性：措施内容完整全面，对上述各项内容均有详细描述及说明得3分；缺1项得2分；缺2项得1分。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供应商根据采购需求编制的质量保证措施：①系统部署方案、②质量保证方案、③培训方案等相关内容。 二、评审标准： 1、完整性：措施内容完整全面，对上述各项内容均有详细描述及说明得3分；缺1项得2分；缺2项得1分。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售后服务及运维方案</w:t>
            </w:r>
          </w:p>
        </w:tc>
        <w:tc>
          <w:tcPr>
            <w:tcW w:type="dxa" w:w="2492"/>
          </w:tcPr>
          <w:p>
            <w:pPr>
              <w:pStyle w:val="null3"/>
            </w:pPr>
            <w:r>
              <w:rPr>
                <w:rFonts w:ascii="仿宋_GB2312" w:hAnsi="仿宋_GB2312" w:cs="仿宋_GB2312" w:eastAsia="仿宋_GB2312"/>
              </w:rPr>
              <w:t>一、评审内容： 供应商提供售后运维的内容包括：①售后服务体系②售后服务措施③运维服务保障方案。 二、评审标准： 1、完整性：方案内容完整全面，对上述各项内容均有详细描述及说明得3分；缺1项得2分；缺2项得1分。 2、针对性：针对性强，得3分；针对性一般，得1.5分；缺乏针对性，得0.5分。 3、可实施性：可实施性强，得3分；可实施性一般，得1.5分；缺乏可实施性，得0.5分。 4、未提供的不得分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满足招标文件要求且投标报价最低的报价为评审基准价,其价格分为满分,其他供应商的价格分统一按照下列公式计算:报价得分=（评审基准价／投标报价）×10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