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版本号：SYTH-ZFCG-2025-05220250930001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铜川市农广校2025年高素质农民培育农机手技能提升培训项目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SYTH-ZFCG-2025-052</w:t>
      </w:r>
      <w:r>
        <w:br/>
      </w:r>
      <w:r>
        <w:br/>
      </w:r>
      <w:r>
        <w:br/>
      </w:r>
    </w:p>
    <w:p>
      <w:pPr>
        <w:pStyle w:val="null3"/>
        <w:jc w:val="center"/>
        <w:outlineLvl w:val="2"/>
      </w:pPr>
      <w:r>
        <w:rPr>
          <w:rFonts w:ascii="仿宋_GB2312" w:hAnsi="仿宋_GB2312" w:cs="仿宋_GB2312" w:eastAsia="仿宋_GB2312"/>
          <w:sz w:val="28"/>
          <w:b/>
        </w:rPr>
        <w:t>陕西省农业广播电视学校铜川市分校</w:t>
      </w:r>
    </w:p>
    <w:p>
      <w:pPr>
        <w:pStyle w:val="null3"/>
        <w:jc w:val="center"/>
        <w:outlineLvl w:val="2"/>
      </w:pPr>
      <w:r>
        <w:rPr>
          <w:rFonts w:ascii="仿宋_GB2312" w:hAnsi="仿宋_GB2312" w:cs="仿宋_GB2312" w:eastAsia="仿宋_GB2312"/>
          <w:sz w:val="28"/>
          <w:b/>
        </w:rPr>
        <w:t>陕西晟运天弘项目管理有限公司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陕西晟运天弘项目管理有限公司</w:t>
      </w:r>
      <w:r>
        <w:rPr>
          <w:rFonts w:ascii="仿宋_GB2312" w:hAnsi="仿宋_GB2312" w:cs="仿宋_GB2312" w:eastAsia="仿宋_GB2312"/>
        </w:rPr>
        <w:t>（以下简称“代理机构”）受</w:t>
      </w:r>
      <w:r>
        <w:rPr>
          <w:rFonts w:ascii="仿宋_GB2312" w:hAnsi="仿宋_GB2312" w:cs="仿宋_GB2312" w:eastAsia="仿宋_GB2312"/>
        </w:rPr>
        <w:t>陕西省农业广播电视学校铜川市分校</w:t>
      </w:r>
      <w:r>
        <w:rPr>
          <w:rFonts w:ascii="仿宋_GB2312" w:hAnsi="仿宋_GB2312" w:cs="仿宋_GB2312" w:eastAsia="仿宋_GB2312"/>
        </w:rPr>
        <w:t>委托，拟对</w:t>
      </w:r>
      <w:r>
        <w:rPr>
          <w:rFonts w:ascii="仿宋_GB2312" w:hAnsi="仿宋_GB2312" w:cs="仿宋_GB2312" w:eastAsia="仿宋_GB2312"/>
        </w:rPr>
        <w:t>铜川市农广校2025年高素质农民培育农机手技能提升培训项目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SYTH-ZFCG-2025-052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铜川市农广校2025年高素质农民培育农机手技能提升培训项目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本项目需采购农机手技能提升培训及跟踪服务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采购包1（铜川市农广校2025年高素质农民培育农机手技能提升培训项目）：属于专门面向中小企业采购。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p>
      <w:pPr>
        <w:pStyle w:val="null3"/>
      </w:pPr>
      <w:r>
        <w:rPr>
          <w:rFonts w:ascii="仿宋_GB2312" w:hAnsi="仿宋_GB2312" w:cs="仿宋_GB2312" w:eastAsia="仿宋_GB2312"/>
        </w:rPr>
        <w:t>2、具有良好的商业信誉：供应商不得为“信用中国(www.creditchina.gov.cn)”中列入重大税收违法失信主体、严重失信主体名单及政府采购严重违法失信行为记录名单查询的供应商；不得在“中国执行信息公开网(http://zxgk.court.gov.cn)”被列为失信被执行人；不得被列入“国家企业信用信息公示系统(http://www.gsxt.gov.cn/index.html)”行政处罚信息、经营异常名录信息及严重违法失信名单；不得为“中国政府采购网(www.ccgp.gov.cn)”政府采购严重违法失信行为记录名单中被财政部门禁止参加政府采购活动的供应商；（“信用中国”及“中国执行信息公开网”应同时提供法定代表人或负责人查询截图且不得被列入以上名单，以上提供网页查询打印预览截图，查询时间为各供应商领取磋商文件之日至递交响应文件截止之日期间有效，打印背景体现查询日期。）供应商需在项目电子化交易系统中按要求上传相应证明文件并进行电子签章。</w:t>
      </w:r>
    </w:p>
    <w:p>
      <w:pPr>
        <w:pStyle w:val="null3"/>
      </w:pPr>
      <w:r>
        <w:rPr>
          <w:rFonts w:ascii="仿宋_GB2312" w:hAnsi="仿宋_GB2312" w:cs="仿宋_GB2312" w:eastAsia="仿宋_GB2312"/>
        </w:rPr>
        <w:t>3、具有履行合同所必需的设备和专业技术能力；：具有履行合同所必需的设备和专业技术能力的声明；供应商需在项目电子化交易系统中按要求上传相应证明文件并进行电子签章。</w:t>
      </w:r>
    </w:p>
    <w:p>
      <w:pPr>
        <w:pStyle w:val="null3"/>
      </w:pPr>
      <w:r>
        <w:rPr>
          <w:rFonts w:ascii="仿宋_GB2312" w:hAnsi="仿宋_GB2312" w:cs="仿宋_GB2312" w:eastAsia="仿宋_GB2312"/>
        </w:rPr>
        <w:t>4、有依法缴纳社会保障资金的良好记录：提供磋商截止日前近一年内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有依法缴纳税收的良好记录：提供磋商截止日前近一年内已缴纳的至少一个月的纳税证明或完税证明，纳税证明或完税证明上应有代收机构或税务机关的公章或业务专用章。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6、参加本次政府采购活动前3年内在经营活动中没有重大违法记录或被起诉；：参加本次政府采购活动前3年内在经营活动中没有重大违法记录或被起诉的声明；供应商需在项目电子化交易系统中按要求上传相应证明文件并进行电子签章。</w:t>
      </w:r>
    </w:p>
    <w:p>
      <w:pPr>
        <w:pStyle w:val="null3"/>
      </w:pPr>
      <w:r>
        <w:rPr>
          <w:rFonts w:ascii="仿宋_GB2312" w:hAnsi="仿宋_GB2312" w:cs="仿宋_GB2312" w:eastAsia="仿宋_GB2312"/>
        </w:rPr>
        <w:t>7、非联合体磋商：提供非联合体磋商声明；供应商需在项目电子化交易系统中按要求上传相应证明文件并进行电子签章。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陕西省农业广播电视学校铜川市分校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铜川市新区政务大楼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陕西省农业广播电视学校铜川市分校经办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17389539008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陕西晟运天弘项目管理有限公司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陕西省铜川市王益区河滨路粮油公司办公楼三楼北户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崔宇洁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0919-2392777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代理服务费收费标准：依据国家发改委发改价格[2011]534号文件及依据国家计委计价格[2002]1980号文件规定计取，以中标金额为计算基数，按差额定率累进法计算。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陕西省农业广播电视学校铜川市分校</w:t>
      </w:r>
      <w:r>
        <w:rPr>
          <w:rFonts w:ascii="仿宋_GB2312" w:hAnsi="仿宋_GB2312" w:cs="仿宋_GB2312" w:eastAsia="仿宋_GB2312"/>
        </w:rPr>
        <w:t>和</w:t>
      </w:r>
      <w:r>
        <w:rPr>
          <w:rFonts w:ascii="仿宋_GB2312" w:hAnsi="仿宋_GB2312" w:cs="仿宋_GB2312" w:eastAsia="仿宋_GB2312"/>
        </w:rPr>
        <w:t>陕西晟运天弘项目管理有限公司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陕西省农业广播电视学校铜川市分校</w:t>
      </w:r>
      <w:r>
        <w:rPr>
          <w:rFonts w:ascii="仿宋_GB2312" w:hAnsi="仿宋_GB2312" w:cs="仿宋_GB2312" w:eastAsia="仿宋_GB2312"/>
        </w:rPr>
        <w:t>负责解释。除上述磋商文件内容，其他内容由</w:t>
      </w:r>
      <w:r>
        <w:rPr>
          <w:rFonts w:ascii="仿宋_GB2312" w:hAnsi="仿宋_GB2312" w:cs="仿宋_GB2312" w:eastAsia="仿宋_GB2312"/>
        </w:rPr>
        <w:t>陕西晟运天弘项目管理有限公司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陕西省农业广播电视学校铜川市分校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陕西晟运天弘项目管理有限公司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达到国家及行业质量验收标准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陕西晟运天弘项目管理有限公司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陕西晟运天弘项目管理有限公司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陕西晟运天弘项目管理有限公司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联系人：崔宇洁</w:t>
      </w:r>
    </w:p>
    <w:p>
      <w:pPr>
        <w:pStyle w:val="null3"/>
      </w:pPr>
      <w:r>
        <w:rPr>
          <w:rFonts w:ascii="仿宋_GB2312" w:hAnsi="仿宋_GB2312" w:cs="仿宋_GB2312" w:eastAsia="仿宋_GB2312"/>
        </w:rPr>
        <w:t>联系电话：0919-2392777</w:t>
      </w:r>
    </w:p>
    <w:p>
      <w:pPr>
        <w:pStyle w:val="null3"/>
      </w:pPr>
      <w:r>
        <w:rPr>
          <w:rFonts w:ascii="仿宋_GB2312" w:hAnsi="仿宋_GB2312" w:cs="仿宋_GB2312" w:eastAsia="仿宋_GB2312"/>
        </w:rPr>
        <w:t>地址：陕西省铜川市王益区河滨路粮油公司办公楼三楼北户</w:t>
      </w:r>
    </w:p>
    <w:p>
      <w:pPr>
        <w:pStyle w:val="null3"/>
      </w:pPr>
      <w:r>
        <w:rPr>
          <w:rFonts w:ascii="仿宋_GB2312" w:hAnsi="仿宋_GB2312" w:cs="仿宋_GB2312" w:eastAsia="仿宋_GB2312"/>
        </w:rPr>
        <w:t>邮编：727007</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本项目需采购农机手技能提升培训及跟踪服务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农机手技能提升课程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标的名称：农机手技能提升课程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每期培训总学时不低于80个学时。</w:t>
            </w:r>
            <w:r>
              <w:br/>
            </w:r>
            <w:r>
              <w:rPr>
                <w:rFonts w:ascii="仿宋_GB2312" w:hAnsi="仿宋_GB2312" w:cs="仿宋_GB2312" w:eastAsia="仿宋_GB2312"/>
              </w:rPr>
              <w:t xml:space="preserve"> 其中综合素养课不低于总学时的10%，专业技能课不低于总学时的70%，能力拓展课不高于总学时的 20%。线上学习不高于总学时的 15%,实践教学不低于专业技能课时的50%。每天8学时，每学时45分钟，学员往返不计算学时。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针对本项目配备专业的技术人员和相关的服务人员，确保项目顺利实施。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针对本项目配备专业的设施设备，设施设备齐全，确保项目顺利实施。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所有投标供应商须满足农社综函【2025】15号文件及附件1、附件2所有要求内容</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培训期限为10日历天，具体起始时间由甲方确定，培训完成后乙方需至少6个月的跟踪指导服务，通过建立微信群、电话回访、专家下乡、组织学员线上学习等方式，解决学员在实际生产中遇到的技术难题，并做好记录。</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达到国家及行业质量验收标准。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合同签订后一次性付清</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成交供应商未按合同要求执行、质量不能满足要求，采购人可根据成交供应商的违约情况，调整成交供应商的供货范围或取消其服务资格，并终止合同，并对供方违约行为进行追究，同时按《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业绩一览表.docx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三年任一年度的经会计师事务所或审计机构审计的财务审计报告(包括审计报告、资产负债表、利润表、现金流量表、附注等全部内容，成立时间至提交响应文件截止时间不足一年的可提供成立后任意时段的资产负债表)及财务情况说明书，或磋商前六个月内其基本存款账户开户银行出具的资信证明，或信用担保机构出具的磋商担保函；（提供复印件加盖公章）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提供单位负责人为同一人或者存在直接控股、管理关系的不同供应商不得参加同一合同项下的政府采购活动的声明；供应商需在项目电子化交易系统中按要求填写《响应函》完成承诺并进行电子签章。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供应商不得为“信用中国(www.creditchina.gov.cn)”中列入重大税收违法失信主体、严重失信主体名单及政府采购严重违法失信行为记录名单查询的供应商；不得在“中国执行信息公开网(http://zxgk.court.gov.cn)”被列为失信被执行人；不得被列入“国家企业信用信息公示系统(http://www.gsxt.gov.cn/index.html)”行政处罚信息、经营异常名录信息及严重违法失信名单；不得为“中国政府采购网(www.ccgp.gov.cn)”政府采购严重违法失信行为记录名单中被财政部门禁止参加政府采购活动的供应商；（“信用中国”及“中国执行信息公开网”应同时提供法定代表人或负责人查询截图且不得被列入以上名单，以上提供网页查询打印预览截图，查询时间为各供应商领取磋商文件之日至递交响应文件截止之日期间有效，打印背景体现查询日期。）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磋商截止日前近一年内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磋商截止日前近一年内已缴纳的至少一个月的纳税证明或完税证明，纳税证明或完税证明上应有代收机构或税务机关的公章或业务专用章。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参加本次政府采购活动前3年内在经营活动中没有重大违法记录或被起诉；</w:t>
            </w:r>
          </w:p>
        </w:tc>
        <w:tc>
          <w:tcPr>
            <w:tcW w:type="dxa" w:w="3322"/>
          </w:tcPr>
          <w:p>
            <w:pPr>
              <w:pStyle w:val="null3"/>
            </w:pPr>
            <w:r>
              <w:rPr>
                <w:rFonts w:ascii="仿宋_GB2312" w:hAnsi="仿宋_GB2312" w:cs="仿宋_GB2312" w:eastAsia="仿宋_GB2312"/>
              </w:rPr>
              <w:t>参加本次政府采购活动前3年内在经营活动中没有重大违法记录或被起诉的声明；供应商需在项目电子化交易系统中按要求上传相应证明文件并进行电子签章。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提供非联合体磋商声明；供应商需在项目电子化交易系统中按要求上传相应证明文件并进行电子签章。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供应商应提交的相关资格证明材料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响应文件上法定代表人或其委托代理人的签字齐全并加盖单位章；响应文件应逐页加盖单位公章，且公章清晰可见；（2）响应文件格式：应符合响应文件要求；（3）报价唯一：只能有一个有效报价，不得提交选择性报价，且报价不超过采购预算。</w:t>
            </w:r>
          </w:p>
        </w:tc>
        <w:tc>
          <w:tcPr>
            <w:tcW w:type="dxa" w:w="1661"/>
          </w:tcPr>
          <w:p>
            <w:pPr>
              <w:pStyle w:val="null3"/>
            </w:pPr>
            <w:r>
              <w:rPr>
                <w:rFonts w:ascii="仿宋_GB2312" w:hAnsi="仿宋_GB2312" w:cs="仿宋_GB2312" w:eastAsia="仿宋_GB2312"/>
              </w:rPr>
              <w:t>响应文件封面 业绩一览表.docx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磋商文件响应程度：要求全面响应，不能有任何采购人不能接受的附加条件；（2）拟提供服务响应程度；应满足磋商文件提出的技术和服务要求。不允许技术参数负偏离；（3）服务期：培训期限为10日历天，具体起始时间由甲方确定，培训完成后乙方需至少6个月的跟踪指导服务，通过建立微信群、电话回访、专家下乡等方式，解决学院在实际生产中遇到的技术难题，并做好记录；（4）服务地点：采购人指定地点；（5）磋商有效期 ：应满足磋商文件中的规定。</w:t>
            </w:r>
          </w:p>
        </w:tc>
        <w:tc>
          <w:tcPr>
            <w:tcW w:type="dxa" w:w="1661"/>
          </w:tcPr>
          <w:p>
            <w:pPr>
              <w:pStyle w:val="null3"/>
            </w:pPr>
            <w:r>
              <w:rPr>
                <w:rFonts w:ascii="仿宋_GB2312" w:hAnsi="仿宋_GB2312" w:cs="仿宋_GB2312" w:eastAsia="仿宋_GB2312"/>
              </w:rPr>
              <w:t>服务内容及服务邀请应答表 商务应答表 服务方案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经过有效性和符合性审核合格的投标人，其商务应答完全响应招标文件商务要求的计6分。优于招标文件要求的每项另计1分，最多加2分。不完全响应的计0分。（招标文件商务要求为最低要求，不得负偏离）</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投标人具有2022年1月至今（以合同签订日期为准）的同类项目业绩，投标文件中提供合同复印件加盖公章，每提供一个得2分，本项最高得10分。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对项目背景与工作目标的解读与理解</w:t>
            </w:r>
          </w:p>
        </w:tc>
        <w:tc>
          <w:tcPr>
            <w:tcW w:type="dxa" w:w="2492"/>
          </w:tcPr>
          <w:p>
            <w:pPr>
              <w:pStyle w:val="null3"/>
            </w:pPr>
            <w:r>
              <w:rPr>
                <w:rFonts w:ascii="仿宋_GB2312" w:hAnsi="仿宋_GB2312" w:cs="仿宋_GB2312" w:eastAsia="仿宋_GB2312"/>
              </w:rPr>
              <w:t>评审内容：供应商对本次培训的理解、内容包括：①项目背景的解读与分析②培训内容③培训目标④培训思路。 评审标准：各部分内容全面详细、阐述条理清晰详尽、符合本项目采购需求，能保障本项目实施得10分；评审内容每缺一项扣1分，评审内容有缺陷未完全响应评审标准的每有一项缺陷扣0.5分，扣完为止。 (“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评审内容：供应商针对本次培训提供具体详细可行的服务方案，内容包括：①整体培训方案②培训大纲③培训人数、培训时长、培训方式④课程设置。 评审标准：各部分内容全面详细、阐述条理清晰详尽、符合本项目采购需求，能保障本项目实施得12分；评审内容每缺一项扣3分，评审内容有缺陷未完全响应评审标准的每有一项缺陷扣0.5分，扣完为止。(“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1.供应商需提供在有效期内的企业信用等级证书、质量服务信誉单位证书，每提供一份证书，得1分，最多得2分，不提供或提供无效证书者得0分。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实施进度计划</w:t>
            </w:r>
          </w:p>
        </w:tc>
        <w:tc>
          <w:tcPr>
            <w:tcW w:type="dxa" w:w="2492"/>
          </w:tcPr>
          <w:p>
            <w:pPr>
              <w:pStyle w:val="null3"/>
            </w:pPr>
            <w:r>
              <w:rPr>
                <w:rFonts w:ascii="仿宋_GB2312" w:hAnsi="仿宋_GB2312" w:cs="仿宋_GB2312" w:eastAsia="仿宋_GB2312"/>
              </w:rPr>
              <w:t>评审内容：供应商针对本次培训制定进度计划方案，内容包括：①项目实施②工作内容安排③进度保障措施。 评审标准：各部分内容全面详细、阐述条理清晰详尽、符合本项目采购需求，能保障本项目实施得10分；评审内容第①②项每缺一项扣3分，评审内容有缺陷未完全响应评审标准的每有一项缺陷扣0.5分，扣完为止；评审内容缺第③项扣4分，评审内容有缺陷未完全响应评审标准的每有一项缺陷扣1分，扣完为止。(“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培训考核及评价建设</w:t>
            </w:r>
          </w:p>
        </w:tc>
        <w:tc>
          <w:tcPr>
            <w:tcW w:type="dxa" w:w="2492"/>
          </w:tcPr>
          <w:p>
            <w:pPr>
              <w:pStyle w:val="null3"/>
            </w:pPr>
            <w:r>
              <w:rPr>
                <w:rFonts w:ascii="仿宋_GB2312" w:hAnsi="仿宋_GB2312" w:cs="仿宋_GB2312" w:eastAsia="仿宋_GB2312"/>
              </w:rPr>
              <w:t>评审内容：供应商提供针对本次培训考核及评价，内容报告：①制定学员培训考核办法②培训考核及评价建设方案③提供项目绩效评估相关资料。 评审标准：各部分内容全面详细、阐述条理清晰详尽、符合本项目采购需求，能保障本项目实施得12分；评审内容缺第①项扣4分，评审内容有缺陷未完全响应评审标准的每有一项缺陷扣0.5分，扣完为止；评审内容缺第②③项每缺一项扣3分，评审内容有缺陷未完全响应评审标准的每有一项缺陷扣0.5分，扣完为止。(“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评审内容：供应商应针对本项目提供完善的服务质量保证措施。内容报告： ①质量管理体系②质量保障措施③服务承诺； 评审标准：各部分内容全面详细、阐述条理清晰详尽、符合本项目采购需求，能保障本项目实施得6分；评审内容每缺一项扣2分，评审内容有缺陷未完全响应评审标准的每有一项扣0.5分，扣完为止。(“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价格分统一采用低价优先法计算，即满足招标文件要求且价格最低的投标评审价为评标基准价，其价格分为满分。其他投标人的价格分统一按照下列公式计算： 价格分=(评标基准价／投标评审价)×100×价格权值 注：1、符合招标文件规定的中小企业、监狱企业、残疾人福利性单位优惠条件的投标人，价格给予10%的扣除，用扣除后的价格参与评审。2、对于优先采购的环境标志产品，价格给予5%的扣除，用扣除后的价格参与评审；优先采购的节能产品，价格给予5%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