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版本号：TCZFCG-2025-0064120250912001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铜川市消防救援支队应急救援指挥车辆采购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TCZFCG-2025-00641</w:t>
      </w:r>
      <w:r>
        <w:br/>
      </w:r>
      <w:r>
        <w:br/>
      </w:r>
      <w:r>
        <w:br/>
      </w:r>
    </w:p>
    <w:p>
      <w:pPr>
        <w:pStyle w:val="null3"/>
        <w:jc w:val="center"/>
        <w:outlineLvl w:val="2"/>
      </w:pPr>
      <w:r>
        <w:rPr>
          <w:rFonts w:ascii="仿宋_GB2312" w:hAnsi="仿宋_GB2312" w:cs="仿宋_GB2312" w:eastAsia="仿宋_GB2312"/>
          <w:sz w:val="28"/>
          <w:b/>
        </w:rPr>
        <w:t>铜川市应急管理局</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铜川市应急管理局</w:t>
      </w:r>
      <w:r>
        <w:rPr>
          <w:rFonts w:ascii="仿宋_GB2312" w:hAnsi="仿宋_GB2312" w:cs="仿宋_GB2312" w:eastAsia="仿宋_GB2312"/>
        </w:rPr>
        <w:t>委托，拟对</w:t>
      </w:r>
      <w:r>
        <w:rPr>
          <w:rFonts w:ascii="仿宋_GB2312" w:hAnsi="仿宋_GB2312" w:cs="仿宋_GB2312" w:eastAsia="仿宋_GB2312"/>
        </w:rPr>
        <w:t>铜川市消防救援支队应急救援指挥车辆采购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TCZFCG-2025-00641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铜川市消防救援支队应急救援指挥车辆采购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加速构建应急与消防系统基础设施共建共享、协同联动机制，持续提升我市应急消防救援专业化、现代化水平，实现全市人民对安全需求的新期望，经济社会发展对平安保障的新要求，现拟采购2辆应急救援指挥车用于支持全市消防救援工作顺利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1、车辆生产企业及产品目录：所投车辆及生产企业必须在国家发改委或工信部发布的《车辆生产企业及产品目录》内，提供国家发改委或工业和信息化部发布的车型车辆公告目录，并提供截图；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陕西省铜川市新区鸿基路2号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18109191360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铜川市应急管理局</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铜川市应急管理局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铜川市政府采购中心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按竞争性谈判文件和合同要求执行。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铜川市应急管理局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速构建应急与消防系统基础设施共建共享、协同联动机制，持续提升我市应急消防救援专业化、现代化水平，实现全市人民对安全需求的新期望，经济社会发展对平安保障的新要求，现拟采购2辆应急救援指挥车用于支持全市消防救援工作顺利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消防应急指挥车辆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940,000.00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标的名称：消防应急指挥车辆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整车：</w:t>
            </w:r>
          </w:p>
          <w:p>
            <w:pPr>
              <w:pStyle w:val="null3"/>
              <w:jc w:val="both"/>
            </w:pPr>
            <w:r>
              <w:rPr>
                <w:rFonts w:ascii="仿宋_GB2312" w:hAnsi="仿宋_GB2312" w:cs="仿宋_GB2312" w:eastAsia="仿宋_GB2312"/>
                <w:sz w:val="24"/>
              </w:rPr>
              <w:t>1.供应商为本项目提供的所有产品、辅材中属于《国家强制性产品认证目录》范围内产品的，均应通过国家强制性产品认证并取得认证证书或经过强制性认证产品符合性自我声明。供应商为本项目提供的所有产品、辅材应符合现行的强制性国家相关标准、行业标准；</w:t>
            </w:r>
          </w:p>
          <w:p>
            <w:pPr>
              <w:pStyle w:val="null3"/>
              <w:jc w:val="both"/>
            </w:pPr>
            <w:r>
              <w:rPr>
                <w:rFonts w:ascii="仿宋_GB2312" w:hAnsi="仿宋_GB2312" w:cs="仿宋_GB2312" w:eastAsia="仿宋_GB2312"/>
                <w:sz w:val="24"/>
              </w:rPr>
              <w:t>2.排放标准：国Ⅵ；</w:t>
            </w:r>
          </w:p>
          <w:p>
            <w:pPr>
              <w:pStyle w:val="null3"/>
            </w:pPr>
            <w:r>
              <w:rPr>
                <w:rFonts w:ascii="仿宋_GB2312" w:hAnsi="仿宋_GB2312" w:cs="仿宋_GB2312" w:eastAsia="仿宋_GB2312"/>
                <w:sz w:val="24"/>
              </w:rPr>
              <w:t>3.驱动类型：四驱；</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整车：</w:t>
            </w:r>
          </w:p>
          <w:p>
            <w:pPr>
              <w:pStyle w:val="null3"/>
            </w:pPr>
            <w:r>
              <w:rPr>
                <w:rFonts w:ascii="仿宋_GB2312" w:hAnsi="仿宋_GB2312" w:cs="仿宋_GB2312" w:eastAsia="仿宋_GB2312"/>
              </w:rPr>
              <w:t>1.</w:t>
            </w:r>
            <w:r>
              <w:rPr>
                <w:rFonts w:ascii="仿宋_GB2312" w:hAnsi="仿宋_GB2312" w:cs="仿宋_GB2312" w:eastAsia="仿宋_GB2312"/>
                <w:sz w:val="24"/>
              </w:rPr>
              <w:t>非承载车身；</w:t>
            </w:r>
          </w:p>
          <w:p>
            <w:pPr>
              <w:pStyle w:val="null3"/>
            </w:pPr>
            <w:r>
              <w:rPr>
                <w:rFonts w:ascii="仿宋_GB2312" w:hAnsi="仿宋_GB2312" w:cs="仿宋_GB2312" w:eastAsia="仿宋_GB2312"/>
              </w:rPr>
              <w:t>2.</w:t>
            </w:r>
            <w:r>
              <w:rPr>
                <w:rFonts w:ascii="仿宋_GB2312" w:hAnsi="仿宋_GB2312" w:cs="仿宋_GB2312" w:eastAsia="仿宋_GB2312"/>
                <w:sz w:val="24"/>
              </w:rPr>
              <w:t>轴距（</w:t>
            </w:r>
            <w:r>
              <w:rPr>
                <w:rFonts w:ascii="仿宋_GB2312" w:hAnsi="仿宋_GB2312" w:cs="仿宋_GB2312" w:eastAsia="仿宋_GB2312"/>
                <w:sz w:val="24"/>
              </w:rPr>
              <w:t>mm）：≥2850；</w:t>
            </w:r>
          </w:p>
          <w:p>
            <w:pPr>
              <w:pStyle w:val="null3"/>
            </w:pPr>
            <w:r>
              <w:rPr>
                <w:rFonts w:ascii="仿宋_GB2312" w:hAnsi="仿宋_GB2312" w:cs="仿宋_GB2312" w:eastAsia="仿宋_GB2312"/>
              </w:rPr>
              <w:t>3.</w:t>
            </w:r>
            <w:r>
              <w:rPr>
                <w:rFonts w:ascii="仿宋_GB2312" w:hAnsi="仿宋_GB2312" w:cs="仿宋_GB2312" w:eastAsia="仿宋_GB2312"/>
                <w:sz w:val="24"/>
              </w:rPr>
              <w:t>最小离地间隙</w:t>
            </w:r>
            <w:r>
              <w:rPr>
                <w:rFonts w:ascii="仿宋_GB2312" w:hAnsi="仿宋_GB2312" w:cs="仿宋_GB2312" w:eastAsia="仿宋_GB2312"/>
                <w:sz w:val="24"/>
              </w:rPr>
              <w:t>(mm)：≥2</w:t>
            </w:r>
            <w:r>
              <w:rPr>
                <w:rFonts w:ascii="仿宋_GB2312" w:hAnsi="仿宋_GB2312" w:cs="仿宋_GB2312" w:eastAsia="仿宋_GB2312"/>
                <w:sz w:val="24"/>
              </w:rPr>
              <w:t>2</w:t>
            </w:r>
            <w:r>
              <w:rPr>
                <w:rFonts w:ascii="仿宋_GB2312" w:hAnsi="仿宋_GB2312" w:cs="仿宋_GB2312" w:eastAsia="仿宋_GB2312"/>
                <w:sz w:val="24"/>
              </w:rPr>
              <w:t>0；</w:t>
            </w:r>
          </w:p>
          <w:p>
            <w:pPr>
              <w:pStyle w:val="null3"/>
            </w:pPr>
            <w:r>
              <w:rPr>
                <w:rFonts w:ascii="仿宋_GB2312" w:hAnsi="仿宋_GB2312" w:cs="仿宋_GB2312" w:eastAsia="仿宋_GB2312"/>
              </w:rPr>
              <w:t>4.</w:t>
            </w:r>
            <w:r>
              <w:rPr>
                <w:rFonts w:ascii="仿宋_GB2312" w:hAnsi="仿宋_GB2312" w:cs="仿宋_GB2312" w:eastAsia="仿宋_GB2312"/>
                <w:sz w:val="24"/>
              </w:rPr>
              <w:t>接近角</w:t>
            </w:r>
            <w:r>
              <w:rPr>
                <w:rFonts w:ascii="仿宋_GB2312" w:hAnsi="仿宋_GB2312" w:cs="仿宋_GB2312" w:eastAsia="仿宋_GB2312"/>
                <w:sz w:val="24"/>
              </w:rPr>
              <w:t>/离去角（°）：≥30°/</w:t>
            </w:r>
            <w:r>
              <w:rPr>
                <w:rFonts w:ascii="仿宋_GB2312" w:hAnsi="仿宋_GB2312" w:cs="仿宋_GB2312" w:eastAsia="仿宋_GB2312"/>
                <w:sz w:val="24"/>
              </w:rPr>
              <w:t>30</w:t>
            </w:r>
            <w:r>
              <w:rPr>
                <w:rFonts w:ascii="仿宋_GB2312" w:hAnsi="仿宋_GB2312" w:cs="仿宋_GB2312" w:eastAsia="仿宋_GB2312"/>
                <w:sz w:val="24"/>
              </w:rPr>
              <w:t>°；</w:t>
            </w:r>
          </w:p>
          <w:p>
            <w:pPr>
              <w:pStyle w:val="null3"/>
            </w:pPr>
            <w:r>
              <w:rPr>
                <w:rFonts w:ascii="仿宋_GB2312" w:hAnsi="仿宋_GB2312" w:cs="仿宋_GB2312" w:eastAsia="仿宋_GB2312"/>
              </w:rPr>
              <w:t>5.</w:t>
            </w:r>
            <w:r>
              <w:rPr>
                <w:rFonts w:ascii="仿宋_GB2312" w:hAnsi="仿宋_GB2312" w:cs="仿宋_GB2312" w:eastAsia="仿宋_GB2312"/>
                <w:sz w:val="24"/>
              </w:rPr>
              <w:t>油箱容积（</w:t>
            </w:r>
            <w:r>
              <w:rPr>
                <w:rFonts w:ascii="仿宋_GB2312" w:hAnsi="仿宋_GB2312" w:cs="仿宋_GB2312" w:eastAsia="仿宋_GB2312"/>
                <w:sz w:val="24"/>
              </w:rPr>
              <w:t>L）：≥</w:t>
            </w:r>
            <w:r>
              <w:rPr>
                <w:rFonts w:ascii="仿宋_GB2312" w:hAnsi="仿宋_GB2312" w:cs="仿宋_GB2312" w:eastAsia="仿宋_GB2312"/>
                <w:sz w:val="24"/>
              </w:rPr>
              <w:t>80</w:t>
            </w:r>
            <w:r>
              <w:rPr>
                <w:rFonts w:ascii="仿宋_GB2312" w:hAnsi="仿宋_GB2312" w:cs="仿宋_GB2312" w:eastAsia="仿宋_GB2312"/>
                <w:sz w:val="24"/>
              </w:rPr>
              <w:t>；</w:t>
            </w:r>
          </w:p>
          <w:p>
            <w:pPr>
              <w:pStyle w:val="null3"/>
            </w:pPr>
            <w:r>
              <w:rPr>
                <w:rFonts w:ascii="仿宋_GB2312" w:hAnsi="仿宋_GB2312" w:cs="仿宋_GB2312" w:eastAsia="仿宋_GB2312"/>
              </w:rPr>
              <w:t>6.</w:t>
            </w:r>
            <w:r>
              <w:rPr>
                <w:rFonts w:ascii="仿宋_GB2312" w:hAnsi="仿宋_GB2312" w:cs="仿宋_GB2312" w:eastAsia="仿宋_GB2312"/>
                <w:sz w:val="24"/>
              </w:rPr>
              <w:t>最高车速（</w:t>
            </w:r>
            <w:r>
              <w:rPr>
                <w:rFonts w:ascii="仿宋_GB2312" w:hAnsi="仿宋_GB2312" w:cs="仿宋_GB2312" w:eastAsia="仿宋_GB2312"/>
                <w:sz w:val="24"/>
              </w:rPr>
              <w:t>km/h）：≥180；</w:t>
            </w:r>
          </w:p>
          <w:p>
            <w:pPr>
              <w:pStyle w:val="null3"/>
            </w:pPr>
            <w:r>
              <w:rPr>
                <w:rFonts w:ascii="仿宋_GB2312" w:hAnsi="仿宋_GB2312" w:cs="仿宋_GB2312" w:eastAsia="仿宋_GB2312"/>
              </w:rPr>
              <w:t>7.</w:t>
            </w:r>
            <w:r>
              <w:rPr>
                <w:rFonts w:ascii="仿宋_GB2312" w:hAnsi="仿宋_GB2312" w:cs="仿宋_GB2312" w:eastAsia="仿宋_GB2312"/>
                <w:sz w:val="24"/>
              </w:rPr>
              <w:t>发动机额定功率（</w:t>
            </w:r>
            <w:r>
              <w:rPr>
                <w:rFonts w:ascii="仿宋_GB2312" w:hAnsi="仿宋_GB2312" w:cs="仿宋_GB2312" w:eastAsia="仿宋_GB2312"/>
                <w:sz w:val="24"/>
              </w:rPr>
              <w:t>kw）：≥250；</w:t>
            </w:r>
          </w:p>
          <w:p>
            <w:pPr>
              <w:pStyle w:val="null3"/>
            </w:pPr>
            <w:r>
              <w:rPr>
                <w:rFonts w:ascii="仿宋_GB2312" w:hAnsi="仿宋_GB2312" w:cs="仿宋_GB2312" w:eastAsia="仿宋_GB2312"/>
              </w:rPr>
              <w:t>8.</w:t>
            </w:r>
            <w:r>
              <w:rPr>
                <w:rFonts w:ascii="仿宋_GB2312" w:hAnsi="仿宋_GB2312" w:cs="仿宋_GB2312" w:eastAsia="仿宋_GB2312"/>
                <w:sz w:val="24"/>
              </w:rPr>
              <w:t>最大扭矩（</w:t>
            </w:r>
            <w:r>
              <w:rPr>
                <w:rFonts w:ascii="仿宋_GB2312" w:hAnsi="仿宋_GB2312" w:cs="仿宋_GB2312" w:eastAsia="仿宋_GB2312"/>
                <w:sz w:val="24"/>
              </w:rPr>
              <w:t>Nm）≥700；</w:t>
            </w:r>
          </w:p>
          <w:p>
            <w:pPr>
              <w:pStyle w:val="null3"/>
            </w:pPr>
            <w:r>
              <w:rPr>
                <w:rFonts w:ascii="仿宋_GB2312" w:hAnsi="仿宋_GB2312" w:cs="仿宋_GB2312" w:eastAsia="仿宋_GB2312"/>
              </w:rPr>
              <w:t>9.</w:t>
            </w:r>
            <w:r>
              <w:rPr>
                <w:rFonts w:ascii="仿宋_GB2312" w:hAnsi="仿宋_GB2312" w:cs="仿宋_GB2312" w:eastAsia="仿宋_GB2312"/>
                <w:sz w:val="24"/>
              </w:rPr>
              <w:t>排量（</w:t>
            </w:r>
            <w:r>
              <w:rPr>
                <w:rFonts w:ascii="仿宋_GB2312" w:hAnsi="仿宋_GB2312" w:cs="仿宋_GB2312" w:eastAsia="仿宋_GB2312"/>
                <w:sz w:val="24"/>
              </w:rPr>
              <w:t>ml）</w:t>
            </w:r>
            <w:r>
              <w:rPr>
                <w:rFonts w:ascii="仿宋_GB2312" w:hAnsi="仿宋_GB2312" w:cs="仿宋_GB2312" w:eastAsia="仿宋_GB2312"/>
                <w:sz w:val="24"/>
              </w:rPr>
              <w:t>：</w:t>
            </w:r>
            <w:r>
              <w:rPr>
                <w:rFonts w:ascii="仿宋_GB2312" w:hAnsi="仿宋_GB2312" w:cs="仿宋_GB2312" w:eastAsia="仿宋_GB2312"/>
                <w:sz w:val="24"/>
              </w:rPr>
              <w:t>2000-3000（含 3.0T）;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整车：</w:t>
            </w:r>
          </w:p>
          <w:p>
            <w:pPr>
              <w:pStyle w:val="null3"/>
              <w:jc w:val="both"/>
            </w:pPr>
            <w:r>
              <w:rPr>
                <w:rFonts w:ascii="仿宋_GB2312" w:hAnsi="仿宋_GB2312" w:cs="仿宋_GB2312" w:eastAsia="仿宋_GB2312"/>
                <w:sz w:val="24"/>
              </w:rPr>
              <w:t>1.采取高品质材料和精致工艺，主</w:t>
            </w:r>
            <w:r>
              <w:rPr>
                <w:rFonts w:ascii="仿宋_GB2312" w:hAnsi="仿宋_GB2312" w:cs="仿宋_GB2312" w:eastAsia="仿宋_GB2312"/>
                <w:sz w:val="24"/>
              </w:rPr>
              <w:t>/副驾驶座正面、侧面安全气囊，胎压监测、儿童锁、车身稳定系统，防抱死系统，前排三点式安全带、安全带未系提示、定速续航、坡道辅助系统、盲区检测、疲劳驾驶提示；远程启动、一键启动、WIFI 热点，大英寸电子显示屏、数字仪表盘；前后排充电口、220V 车载电源插座，防眩目内后视镜，一键升降车窗，车顶隔音隔热板，尾门玻璃热线除霜，后备箱照明灯，眼镜盒，车顶照明灯，双区自动空调，真皮多功能方向盘，方向盘加热，前后排座椅加热，隐私玻璃，定速续航等功能齐全，全景天窗、大空间储物箱，前后座椅电动调节、LED 日间行车灯、自适应远近光，语音多媒体系统，车载蓝牙，触摸液晶屏，外后视镜加热折叠，前后排通风按摩；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整车：</w:t>
            </w:r>
          </w:p>
          <w:p>
            <w:pPr>
              <w:pStyle w:val="null3"/>
              <w:jc w:val="both"/>
            </w:pPr>
            <w:r>
              <w:rPr>
                <w:rFonts w:ascii="仿宋_GB2312" w:hAnsi="仿宋_GB2312" w:cs="仿宋_GB2312" w:eastAsia="仿宋_GB2312"/>
                <w:sz w:val="24"/>
              </w:rPr>
              <w:t>1.整车外形尺寸（</w:t>
            </w:r>
            <w:r>
              <w:rPr>
                <w:rFonts w:ascii="仿宋_GB2312" w:hAnsi="仿宋_GB2312" w:cs="仿宋_GB2312" w:eastAsia="仿宋_GB2312"/>
                <w:sz w:val="24"/>
              </w:rPr>
              <w:t>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00×</w:t>
            </w:r>
            <w:r>
              <w:rPr>
                <w:rFonts w:ascii="仿宋_GB2312" w:hAnsi="仿宋_GB2312" w:cs="仿宋_GB2312" w:eastAsia="仿宋_GB2312"/>
                <w:sz w:val="24"/>
              </w:rPr>
              <w:t>20</w:t>
            </w:r>
            <w:r>
              <w:rPr>
                <w:rFonts w:ascii="仿宋_GB2312" w:hAnsi="仿宋_GB2312" w:cs="仿宋_GB2312" w:eastAsia="仿宋_GB2312"/>
                <w:sz w:val="24"/>
              </w:rPr>
              <w:t>00×1</w:t>
            </w:r>
            <w:r>
              <w:rPr>
                <w:rFonts w:ascii="仿宋_GB2312" w:hAnsi="仿宋_GB2312" w:cs="仿宋_GB2312" w:eastAsia="仿宋_GB2312"/>
                <w:sz w:val="24"/>
              </w:rPr>
              <w:t>90</w:t>
            </w:r>
            <w:r>
              <w:rPr>
                <w:rFonts w:ascii="仿宋_GB2312" w:hAnsi="仿宋_GB2312" w:cs="仿宋_GB2312" w:eastAsia="仿宋_GB2312"/>
                <w:sz w:val="24"/>
              </w:rPr>
              <w:t>0；</w:t>
            </w:r>
          </w:p>
          <w:p>
            <w:pPr>
              <w:pStyle w:val="null3"/>
              <w:jc w:val="both"/>
            </w:pPr>
            <w:r>
              <w:rPr>
                <w:rFonts w:ascii="仿宋_GB2312" w:hAnsi="仿宋_GB2312" w:cs="仿宋_GB2312" w:eastAsia="仿宋_GB2312"/>
              </w:rPr>
              <w:t>2.</w:t>
            </w:r>
            <w:r>
              <w:rPr>
                <w:rFonts w:ascii="仿宋_GB2312" w:hAnsi="仿宋_GB2312" w:cs="仿宋_GB2312" w:eastAsia="仿宋_GB2312"/>
                <w:sz w:val="24"/>
              </w:rPr>
              <w:t>燃油种类：插电式混动，燃料方式：汽油；</w:t>
            </w:r>
          </w:p>
          <w:p>
            <w:pPr>
              <w:pStyle w:val="null3"/>
              <w:jc w:val="both"/>
            </w:pPr>
            <w:r>
              <w:rPr>
                <w:rFonts w:ascii="仿宋_GB2312" w:hAnsi="仿宋_GB2312" w:cs="仿宋_GB2312" w:eastAsia="仿宋_GB2312"/>
              </w:rPr>
              <w:t>3.</w:t>
            </w:r>
            <w:r>
              <w:rPr>
                <w:rFonts w:ascii="仿宋_GB2312" w:hAnsi="仿宋_GB2312" w:cs="仿宋_GB2312" w:eastAsia="仿宋_GB2312"/>
                <w:sz w:val="24"/>
              </w:rPr>
              <w:t>涉水高度</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w:t>
            </w:r>
          </w:p>
          <w:p>
            <w:pPr>
              <w:pStyle w:val="null3"/>
              <w:jc w:val="both"/>
            </w:pPr>
            <w:r>
              <w:rPr>
                <w:rFonts w:ascii="仿宋_GB2312" w:hAnsi="仿宋_GB2312" w:cs="仿宋_GB2312" w:eastAsia="仿宋_GB2312"/>
              </w:rPr>
              <w:t>4.</w:t>
            </w:r>
            <w:r>
              <w:rPr>
                <w:rFonts w:ascii="仿宋_GB2312" w:hAnsi="仿宋_GB2312" w:cs="仿宋_GB2312" w:eastAsia="仿宋_GB2312"/>
                <w:sz w:val="24"/>
              </w:rPr>
              <w:t>配置前、后桥限滑差速器；</w:t>
            </w:r>
          </w:p>
          <w:p>
            <w:pPr>
              <w:pStyle w:val="null3"/>
              <w:jc w:val="both"/>
            </w:pPr>
            <w:r>
              <w:rPr>
                <w:rFonts w:ascii="仿宋_GB2312" w:hAnsi="仿宋_GB2312" w:cs="仿宋_GB2312" w:eastAsia="仿宋_GB2312"/>
              </w:rPr>
              <w:t>5.</w:t>
            </w:r>
            <w:r>
              <w:rPr>
                <w:rFonts w:ascii="仿宋_GB2312" w:hAnsi="仿宋_GB2312" w:cs="仿宋_GB2312" w:eastAsia="仿宋_GB2312"/>
                <w:sz w:val="24"/>
              </w:rPr>
              <w:t>变速箱：</w:t>
            </w:r>
            <w:r>
              <w:rPr>
                <w:rFonts w:ascii="仿宋_GB2312" w:hAnsi="仿宋_GB2312" w:cs="仿宋_GB2312" w:eastAsia="仿宋_GB2312"/>
                <w:sz w:val="24"/>
              </w:rPr>
              <w:t>≥9</w:t>
            </w:r>
            <w:r>
              <w:rPr>
                <w:rFonts w:ascii="仿宋_GB2312" w:hAnsi="仿宋_GB2312" w:cs="仿宋_GB2312" w:eastAsia="仿宋_GB2312"/>
                <w:sz w:val="24"/>
              </w:rPr>
              <w:t>挡手自一体；</w:t>
            </w:r>
          </w:p>
          <w:p>
            <w:pPr>
              <w:pStyle w:val="null3"/>
              <w:jc w:val="both"/>
            </w:pPr>
            <w:r>
              <w:rPr>
                <w:rFonts w:ascii="仿宋_GB2312" w:hAnsi="仿宋_GB2312" w:cs="仿宋_GB2312" w:eastAsia="仿宋_GB2312"/>
              </w:rPr>
              <w:t>6.</w:t>
            </w:r>
            <w:r>
              <w:rPr>
                <w:rFonts w:ascii="仿宋_GB2312" w:hAnsi="仿宋_GB2312" w:cs="仿宋_GB2312" w:eastAsia="仿宋_GB2312"/>
                <w:sz w:val="24"/>
              </w:rPr>
              <w:t>配置中央差速锁；</w:t>
            </w:r>
          </w:p>
          <w:p>
            <w:pPr>
              <w:pStyle w:val="null3"/>
              <w:jc w:val="both"/>
            </w:pPr>
            <w:r>
              <w:rPr>
                <w:rFonts w:ascii="仿宋_GB2312" w:hAnsi="仿宋_GB2312" w:cs="仿宋_GB2312" w:eastAsia="仿宋_GB2312"/>
              </w:rPr>
              <w:t>7.</w:t>
            </w:r>
            <w:r>
              <w:rPr>
                <w:rFonts w:ascii="仿宋_GB2312" w:hAnsi="仿宋_GB2312" w:cs="仿宋_GB2312" w:eastAsia="仿宋_GB2312"/>
                <w:sz w:val="24"/>
              </w:rPr>
              <w:t>轮胎：提供与原车相同尺寸备胎；</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4"/>
              </w:rPr>
              <w:t>交车时</w:t>
            </w:r>
            <w:r>
              <w:rPr>
                <w:rFonts w:ascii="仿宋_GB2312" w:hAnsi="仿宋_GB2312" w:cs="仿宋_GB2312" w:eastAsia="仿宋_GB2312"/>
                <w:sz w:val="24"/>
              </w:rPr>
              <w:t>车</w:t>
            </w:r>
            <w:r>
              <w:rPr>
                <w:rFonts w:ascii="仿宋_GB2312" w:hAnsi="仿宋_GB2312" w:cs="仿宋_GB2312" w:eastAsia="仿宋_GB2312"/>
                <w:sz w:val="24"/>
              </w:rPr>
              <w:t>顶安装消防车专用长排警灯并配警报器（按照国家消防救援队伍车辆警灯警报安装规范执行）；</w:t>
            </w:r>
          </w:p>
          <w:p>
            <w:pPr>
              <w:pStyle w:val="null3"/>
            </w:pPr>
            <w:r>
              <w:rPr>
                <w:rFonts w:ascii="仿宋_GB2312" w:hAnsi="仿宋_GB2312" w:cs="仿宋_GB2312" w:eastAsia="仿宋_GB2312"/>
              </w:rPr>
              <w:t>2.</w:t>
            </w:r>
            <w:r>
              <w:rPr>
                <w:rFonts w:ascii="仿宋_GB2312" w:hAnsi="仿宋_GB2312" w:cs="仿宋_GB2312" w:eastAsia="仿宋_GB2312"/>
                <w:sz w:val="24"/>
              </w:rPr>
              <w:t>交车时，车身颜色及涂装按照</w:t>
            </w:r>
            <w:r>
              <w:rPr>
                <w:rFonts w:ascii="仿宋_GB2312" w:hAnsi="仿宋_GB2312" w:cs="仿宋_GB2312" w:eastAsia="仿宋_GB2312"/>
                <w:sz w:val="24"/>
              </w:rPr>
              <w:t>《应急救援专用号牌式样和车辆涂装样图》（国办发</w:t>
            </w:r>
            <w:r>
              <w:rPr>
                <w:rFonts w:ascii="仿宋_GB2312" w:hAnsi="仿宋_GB2312" w:cs="仿宋_GB2312" w:eastAsia="仿宋_GB2312"/>
                <w:sz w:val="24"/>
              </w:rPr>
              <w:t xml:space="preserve"> 101 [2018]114 号）</w:t>
            </w:r>
            <w:r>
              <w:rPr>
                <w:rFonts w:ascii="仿宋_GB2312" w:hAnsi="仿宋_GB2312" w:cs="仿宋_GB2312" w:eastAsia="仿宋_GB2312"/>
                <w:sz w:val="24"/>
              </w:rPr>
              <w:t>执行；</w:t>
            </w:r>
          </w:p>
          <w:p>
            <w:pPr>
              <w:pStyle w:val="null3"/>
            </w:pPr>
            <w:r>
              <w:rPr>
                <w:rFonts w:ascii="仿宋_GB2312" w:hAnsi="仿宋_GB2312" w:cs="仿宋_GB2312" w:eastAsia="仿宋_GB2312"/>
                <w:sz w:val="24"/>
              </w:rPr>
              <w:t>3.北斗定位系统、全景影像、倒车雷达和防止出现盲区的倒车镜；</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1.具备</w:t>
            </w:r>
            <w:r>
              <w:rPr>
                <w:rFonts w:ascii="仿宋_GB2312" w:hAnsi="仿宋_GB2312" w:cs="仿宋_GB2312" w:eastAsia="仿宋_GB2312"/>
                <w:sz w:val="24"/>
              </w:rPr>
              <w:t>BAS 刹车辅助、TCS 牵引力控制、防侧翻、AEB 自动紧急制动（带行人识别）、BSD 盲区检测+并线辅助系统 LCA、360°环视行车记录仪、倒车雷达等功能；</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4"/>
              </w:rPr>
              <w:t>随车工具一套（各型号开口扳手、活口扳手、一字、十字螺丝刀、钳子、千斤顶、备胎扳手、撬棍、车载充气泵、气带、</w:t>
            </w:r>
            <w:r>
              <w:rPr>
                <w:rFonts w:ascii="仿宋_GB2312" w:hAnsi="仿宋_GB2312" w:cs="仿宋_GB2312" w:eastAsia="仿宋_GB2312"/>
                <w:sz w:val="24"/>
              </w:rPr>
              <w:t>12V 搭电宝、三角警示牌、荧光背心、荧光棒等品种≥1 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自合同签订之日起10个工作日内交付验收完毕。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中标单位领取通知书后与甲方签订供货合同，货到甲方指定地点并经验收（安装）合格，正常使用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1、项目验收为一次性验收: 货物到达交货地点后，由使用单位根据合同对货物（设备）的名称、品牌、规格、型号、产地、数量进行检查，确保所有货物(设备)安装、调试完毕，正常使用，合格后签发《终验合格单》。 2、验收不合格的中标单位，必须在接到通知后5个日历日内确保货物通过验收。如接到通知后5个日历日内验收仍不合格，采购人可提出索赔或取消其供货合同。采购人可以按照评审报告推荐的中标候选人名单排序，确定下一候选人为中标单位。 3、验收依据 （1）合同文本及合同补充文件（条款）； （2）产品的合法来源渠道证明文件、响应功能证明材料； （3）竞争性谈判文件； （4）中标人的响应文件； （5）货物清单； （6）生产厂家的企业资质、货物的执行标准。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1.应急救援指挥车质保期为终验合格后不少于5年，（参数中有具体要求的，按参数要求提供质保）。中标人承诺的质保时间超过竞争性谈判文件要求的，按其承诺时间质保。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一、具体违约形态 1.延迟交付：若乙方未能按照协议约定的时间、地点和方式交付消防车辆，视为乙方违约。乙方应承担因延迟交付给甲方造成的直接经济损失，包括但不限于运输成本增加、生产计划延误等。 2.交付车辆不符合约定：乙方交付的消防车辆如规格、性能、质量等不符合协议约定或存在明显瑕疵，甲方有权要求乙方进行退换或采取其他补救措施。由此产生的额外费用应由乙方承担。 3.信息披露不实：双方均应在签订协议前如实披露相关信息。任何一方故意隐瞒或提供虚假信息，导致对方做出错误判断的，应视为违约，并承担因此产生的所有法律责任。 二、解决争议方法 1.友好协商：双方发生争议时，应首先通过友好协商的方式解决。协商过程中，双方应秉持诚实信用原则，充分听取对方意见，力求达成和解。 2.调解：协商不成时，双方可共同选择一家有资质的第三方调解机构进行调解。调解应遵循自愿、合法、公正的原则，调解结果对双方均有约束力。 3.仲裁：若调解无法达成一致，双方同意将争议提交至约定的仲裁机构进行仲裁。仲裁裁决是终局的，对双方均有法律约束力。双方应严格遵守仲裁裁决，履行各自的义务。 4.诉讼：在特定情况下，如仲裁协议无效或无法执行，双方均有权向有管辖权的人民法院提起诉讼。诉讼过程中，双方应尊重法院的审判权，服从法院的判决或裁定。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提供2024年9月至今已缴存的至少一个月的社会保障资金缴存单据或社保机构开具的社会保险参保缴费情况证明，依法不需要缴纳社会保障资金的单位应提供相关证明材料；税收缴纳证明：提供2024年9月至今已缴纳的至少一个月的纳税证明或完税证明（时间以税款所属日期为准、税种须包含增值税或企业所得税），依法免税的单位应提供相关证明材料；提供具有履行本合同所必需的设备和专业技术能力的声明；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车辆生产企业及产品目录</w:t>
            </w:r>
          </w:p>
        </w:tc>
        <w:tc>
          <w:tcPr>
            <w:tcW w:type="dxa" w:w="3322"/>
          </w:tcPr>
          <w:p>
            <w:pPr>
              <w:pStyle w:val="null3"/>
            </w:pPr>
            <w:r>
              <w:rPr>
                <w:rFonts w:ascii="仿宋_GB2312" w:hAnsi="仿宋_GB2312" w:cs="仿宋_GB2312" w:eastAsia="仿宋_GB2312"/>
              </w:rPr>
              <w:t>所投车辆及生产企业必须在国家发改委或工信部发布的《车辆生产企业及产品目录》内，提供国家发改委或工业和信息化部发布的车型车辆公告目录，并提供截图；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商务应答表 标的清单 供应商应提交的相关资格证明材料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