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版本号：JZZB2025-111120250907001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铜川市印台区红土镇全域土地综合整治山水工程生态补偿一体化示范项目实施方案编制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JZZB2025-1111</w:t>
      </w:r>
      <w:r>
        <w:br/>
      </w:r>
      <w:r>
        <w:br/>
      </w:r>
      <w:r>
        <w:br/>
      </w:r>
    </w:p>
    <w:p>
      <w:pPr>
        <w:pStyle w:val="null3"/>
        <w:jc w:val="center"/>
        <w:outlineLvl w:val="2"/>
      </w:pPr>
      <w:r>
        <w:rPr>
          <w:rFonts w:ascii="仿宋_GB2312" w:hAnsi="仿宋_GB2312" w:cs="仿宋_GB2312" w:eastAsia="仿宋_GB2312"/>
          <w:sz w:val="28"/>
          <w:b/>
        </w:rPr>
        <w:t>铜川市自然资源局印台分局</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铜川市自然资源局印台分局</w:t>
      </w:r>
      <w:r>
        <w:rPr>
          <w:rFonts w:ascii="仿宋_GB2312" w:hAnsi="仿宋_GB2312" w:cs="仿宋_GB2312" w:eastAsia="仿宋_GB2312"/>
        </w:rPr>
        <w:t>委托，拟对</w:t>
      </w:r>
      <w:r>
        <w:rPr>
          <w:rFonts w:ascii="仿宋_GB2312" w:hAnsi="仿宋_GB2312" w:cs="仿宋_GB2312" w:eastAsia="仿宋_GB2312"/>
        </w:rPr>
        <w:t>铜川市印台区红土镇全域土地综合整治山水工程生态补偿一体化示范项目实施方案编制</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JZZB2025-1111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铜川市印台区红土镇全域土地综合整治山水工程生态补偿一体化示范项目实施方案编制</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铜川市印台区红土镇全域土地综合整治山水工程生态补偿一体化示范项目实施方案编制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采购包1（铜川市印台区红土镇全域土地综合整治山水工程生态补偿一体化示范项目实施方案编制）：属于专门面向中小企业采购。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1、营业执照：供应商应具有独立承担民事责任能力的法人或其他组织或自然人（法人或其他组织提供营业执照或事业单位法人证书等国家规定的相关证明，自然人提供身份证件）；</w:t>
      </w:r>
    </w:p>
    <w:p>
      <w:pPr>
        <w:pStyle w:val="null3"/>
      </w:pPr>
      <w:r>
        <w:rPr>
          <w:rFonts w:ascii="仿宋_GB2312" w:hAnsi="仿宋_GB2312" w:cs="仿宋_GB2312" w:eastAsia="仿宋_GB2312"/>
        </w:rPr>
        <w:t>2、法定代表人身份证明书/法定代表人授权书：法定代表人直接参加投标的，须出具法定代表人身份证明书（含法人身份证复印件）；法定代表人授权代表参加的，须出具法定代表人授权书（附法定代表人身份证复印件及被授权人身份证复印件）；</w:t>
      </w:r>
    </w:p>
    <w:p>
      <w:pPr>
        <w:pStyle w:val="null3"/>
      </w:pPr>
      <w:r>
        <w:rPr>
          <w:rFonts w:ascii="仿宋_GB2312" w:hAnsi="仿宋_GB2312" w:cs="仿宋_GB2312" w:eastAsia="仿宋_GB2312"/>
        </w:rPr>
        <w:t>3、三年内在经营活动中没有重大违法记录的书面声明：出具参加本次采购活动前三年内在经营活动中没有重大违法记录的书面声明；</w:t>
      </w:r>
    </w:p>
    <w:p>
      <w:pPr>
        <w:pStyle w:val="null3"/>
      </w:pPr>
      <w:r>
        <w:rPr>
          <w:rFonts w:ascii="仿宋_GB2312" w:hAnsi="仿宋_GB2312" w:cs="仿宋_GB2312" w:eastAsia="仿宋_GB2312"/>
        </w:rPr>
        <w:t>4、经审计的财务报告/资信证明：提供2023年或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p>
    <w:p>
      <w:pPr>
        <w:pStyle w:val="null3"/>
      </w:pPr>
      <w:r>
        <w:rPr>
          <w:rFonts w:ascii="仿宋_GB2312" w:hAnsi="仿宋_GB2312" w:cs="仿宋_GB2312" w:eastAsia="仿宋_GB2312"/>
        </w:rPr>
        <w:t>5、社会保险参保缴费情况证明：提供响应文件提交截止时间前6个月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6、完税证明：提供响应文件提交截止时间前6个月内任意一个月已缴纳的完税凭证或税务机关开具的完税证明（任意税种），依法免税的应提供相关文件证明；</w:t>
      </w:r>
    </w:p>
    <w:p>
      <w:pPr>
        <w:pStyle w:val="null3"/>
      </w:pPr>
      <w:r>
        <w:rPr>
          <w:rFonts w:ascii="仿宋_GB2312" w:hAnsi="仿宋_GB2312" w:cs="仿宋_GB2312" w:eastAsia="仿宋_GB2312"/>
        </w:rPr>
        <w:t>7、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 ：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8、提供具有履行本合同所必需的设备和专业技术能力的说明或承诺：提供具有履行本合同所必需的设备和专业技术能力的说明或承诺；</w:t>
      </w:r>
    </w:p>
    <w:p>
      <w:pPr>
        <w:pStyle w:val="null3"/>
      </w:pPr>
      <w:r>
        <w:rPr>
          <w:rFonts w:ascii="仿宋_GB2312" w:hAnsi="仿宋_GB2312" w:cs="仿宋_GB2312" w:eastAsia="仿宋_GB2312"/>
        </w:rPr>
        <w:t>9、单位负责人为同一人或者存在直接控股、管理关系的不同供应商，不得同时参加同一采购活动：单位负责人为同一人或者存在直接控股、管理关系的不同供应商，不得同时参加同一采购活动；</w:t>
      </w:r>
    </w:p>
    <w:p>
      <w:pPr>
        <w:pStyle w:val="null3"/>
      </w:pPr>
      <w:r>
        <w:rPr>
          <w:rFonts w:ascii="仿宋_GB2312" w:hAnsi="仿宋_GB2312" w:cs="仿宋_GB2312" w:eastAsia="仿宋_GB2312"/>
        </w:rPr>
        <w:t>10、资质：供应商应同时具有行业主管部门颁发的城乡规划和土地规划编制乙级及以上资质（含乙级）。</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铜川市自然资源局印台分局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铜川市印台区同官路80号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铜川市自然资源局印台分局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0919-4185152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照《国家计委关于印发&lt;招标代理服务收费管理暂行办法&gt;的通知》（计价格[2002]1980号）和国家发展改革委员会办厅颁发的《关于招标代理服务收费有关问题的通知》（发改办价格[2003]857号）规定标准收取。2.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铜川市自然资源局印台分局</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铜川市自然资源局印台分局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铜川市自然资源局印台分局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联系人：张菲</w:t>
      </w:r>
    </w:p>
    <w:p>
      <w:pPr>
        <w:pStyle w:val="null3"/>
      </w:pPr>
      <w:r>
        <w:rPr>
          <w:rFonts w:ascii="仿宋_GB2312" w:hAnsi="仿宋_GB2312" w:cs="仿宋_GB2312" w:eastAsia="仿宋_GB2312"/>
        </w:rPr>
        <w:t>联系电话：029-87976716-602</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邮编：029-87976716-602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铜川市印台区红土镇全域土地综合整治山水工程生态补偿一体化示范项目实施方案编制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印台区红土镇全域土地综合整治方案编制业务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标的名称：印台区红土镇全域土地综合整治方案编制业务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项目目标</w:t>
            </w:r>
          </w:p>
          <w:p>
            <w:pPr>
              <w:pStyle w:val="null3"/>
              <w:ind w:firstLine="400"/>
            </w:pPr>
            <w:r>
              <w:rPr>
                <w:rFonts w:ascii="仿宋_GB2312" w:hAnsi="仿宋_GB2312" w:cs="仿宋_GB2312" w:eastAsia="仿宋_GB2312"/>
              </w:rPr>
              <w:t>依据</w:t>
            </w:r>
            <w:r>
              <w:rPr>
                <w:rFonts w:ascii="仿宋_GB2312" w:hAnsi="仿宋_GB2312" w:cs="仿宋_GB2312" w:eastAsia="仿宋_GB2312"/>
              </w:rPr>
              <w:t>自然资源厅及财政厅下发相关文件为指导，以创建</w:t>
            </w:r>
            <w:r>
              <w:rPr>
                <w:rFonts w:ascii="仿宋_GB2312" w:hAnsi="仿宋_GB2312" w:cs="仿宋_GB2312" w:eastAsia="仿宋_GB2312"/>
              </w:rPr>
              <w:t>“千万工程”示范镇和示范村为依托，以国土空间规划为依据，遵循“上下结合，以下为主”的原则，</w:t>
            </w:r>
            <w:r>
              <w:rPr>
                <w:rFonts w:ascii="仿宋_GB2312" w:hAnsi="仿宋_GB2312" w:cs="仿宋_GB2312" w:eastAsia="仿宋_GB2312"/>
              </w:rPr>
              <w:t>以县域为统筹单元、以乡镇为基本实施单元，</w:t>
            </w:r>
            <w:r>
              <w:rPr>
                <w:rFonts w:ascii="仿宋_GB2312" w:hAnsi="仿宋_GB2312" w:cs="仿宋_GB2312" w:eastAsia="仿宋_GB2312"/>
              </w:rPr>
              <w:t>实施范围以全域土地综合整治项目为主体，在深入调查分析现状基础上，兼顾地理单元完整性，科学划分实施单元和整治区域，统筹推动农用地集中连片整治、建设用地整理</w:t>
            </w:r>
            <w:r>
              <w:rPr>
                <w:rFonts w:ascii="仿宋_GB2312" w:hAnsi="仿宋_GB2312" w:cs="仿宋_GB2312" w:eastAsia="仿宋_GB2312"/>
              </w:rPr>
              <w:t>/乡村生态保护修复和历史文化保护等，优化农村地区国土空间布局，促进耕地保护和土地节约集约利用，改善农村环境，推动农村一二三产业融合发展和城乡融合发展，着力实现耕地有增加，山水有景观，生态有改善，文化有传承的综合目标。</w:t>
            </w:r>
          </w:p>
          <w:p>
            <w:pPr>
              <w:pStyle w:val="null3"/>
            </w:pPr>
            <w:r>
              <w:rPr>
                <w:rFonts w:ascii="仿宋_GB2312" w:hAnsi="仿宋_GB2312" w:cs="仿宋_GB2312" w:eastAsia="仿宋_GB2312"/>
              </w:rPr>
              <w:t>2.</w:t>
            </w:r>
            <w:r>
              <w:rPr>
                <w:rFonts w:ascii="仿宋_GB2312" w:hAnsi="仿宋_GB2312" w:cs="仿宋_GB2312" w:eastAsia="仿宋_GB2312"/>
              </w:rPr>
              <w:t>项目采购</w:t>
            </w:r>
            <w:r>
              <w:rPr>
                <w:rFonts w:ascii="仿宋_GB2312" w:hAnsi="仿宋_GB2312" w:cs="仿宋_GB2312" w:eastAsia="仿宋_GB2312"/>
              </w:rPr>
              <w:t>内容</w:t>
            </w:r>
          </w:p>
          <w:p>
            <w:pPr>
              <w:pStyle w:val="null3"/>
              <w:ind w:firstLine="400"/>
              <w:jc w:val="left"/>
            </w:pPr>
            <w:r>
              <w:rPr>
                <w:rFonts w:ascii="仿宋_GB2312" w:hAnsi="仿宋_GB2312" w:cs="仿宋_GB2312" w:eastAsia="仿宋_GB2312"/>
              </w:rPr>
              <w:t>红土镇全域土地综合整治</w:t>
            </w:r>
            <w:r>
              <w:rPr>
                <w:rFonts w:ascii="仿宋_GB2312" w:hAnsi="仿宋_GB2312" w:cs="仿宋_GB2312" w:eastAsia="仿宋_GB2312"/>
              </w:rPr>
              <w:t>/山水工程/生态补偿一体化示范项目实施方案编制。</w:t>
            </w:r>
          </w:p>
          <w:p>
            <w:pPr>
              <w:pStyle w:val="null3"/>
              <w:ind w:firstLine="400"/>
            </w:pPr>
            <w:r>
              <w:rPr>
                <w:rFonts w:ascii="仿宋_GB2312" w:hAnsi="仿宋_GB2312" w:cs="仿宋_GB2312" w:eastAsia="仿宋_GB2312"/>
              </w:rPr>
              <w:t>(一)推动农用地集中连片整治。在严格落实耕地和永久基本农田保护目标任务的前提下，立足土地资源禀赋，锚定农 业现代化发展需要和耕地数量、质量、生态“三位一体”保护目标，聚焦耕地破碎、零散、插花问题突出地区，统筹实施农 用地集中连片整治，持续优化耕地空间布局，稳妥有序推进园林地上山、耕地下川。在关中地区重点打造高产优质粮食生产功能区，在陕南地区重点推行坡改梯、旱改水、小田并大田，在陕北地区重点推动低效田变高产田，打造一批“百亩方”“千亩方”“万亩方”工程，形成耕地和永久基本农田“优质、集中、连片”。</w:t>
            </w:r>
          </w:p>
          <w:p>
            <w:pPr>
              <w:pStyle w:val="null3"/>
              <w:ind w:firstLine="400"/>
            </w:pPr>
            <w:r>
              <w:rPr>
                <w:rFonts w:ascii="仿宋_GB2312" w:hAnsi="仿宋_GB2312" w:cs="仿宋_GB2312" w:eastAsia="仿宋_GB2312"/>
              </w:rPr>
              <w:t>(二)实施建设用地整理。在确保城镇开发边界规模和扩展倍数不突破，整治区域内建设用地总面积不增加的前提下，重点对整治区域内村庄建设用地、工矿废弃地以及其他零散、 闲置、低效建设用地进行整理盘活，优化农村建设用地布局，提升土地资源配置效率和节约集约利用水平，为乡村建设和产 业发展提供空间保障。</w:t>
            </w:r>
          </w:p>
          <w:p>
            <w:pPr>
              <w:pStyle w:val="null3"/>
              <w:ind w:firstLine="400"/>
            </w:pPr>
            <w:r>
              <w:rPr>
                <w:rFonts w:ascii="仿宋_GB2312" w:hAnsi="仿宋_GB2312" w:cs="仿宋_GB2312" w:eastAsia="仿宋_GB2312"/>
              </w:rPr>
              <w:t>(三)实施乡村生态保护修复。聚焦美丽陕西建设，落实各级国土空间生态修复规划确定的目标任务，聚焦秦岭、黄河流域和南水北调中线工程水源地“三大屏障”,落实《生态保 护补偿条例》等要求，加大对重点生态功能区和生态保护红线 覆盖比例较高地区的保护力度，遵循自然生态系统的整体性、系统性及其内在规律，协调推进山上山下、上下游、左右岸山水林田湖草沙一体化保护和修复，改善农村生态环境，加快宜 居宜业和美乡村建设。</w:t>
            </w:r>
          </w:p>
          <w:p>
            <w:pPr>
              <w:pStyle w:val="null3"/>
              <w:ind w:firstLine="400"/>
            </w:pPr>
            <w:r>
              <w:rPr>
                <w:rFonts w:ascii="仿宋_GB2312" w:hAnsi="仿宋_GB2312" w:cs="仿宋_GB2312" w:eastAsia="仿宋_GB2312"/>
              </w:rPr>
              <w:t>(四)加强历史文化保护。将历史文化保护纳入保护修复 范围，顺应整治区域的自然生态格局与村落传统肌理，系统保 护历史文化名镇名村、传统村落，保护空间格局、历史风貌、农耕景观和依存的自然景观环境。关中地区展现内涵深厚的历 史文化特色和建筑风貌，陕南地区凸显秦巴山水灵动之美，陕 北地区传承“革命圣地”的红色文化和质朴的黄土风情。</w:t>
            </w:r>
          </w:p>
          <w:p>
            <w:pPr>
              <w:pStyle w:val="null3"/>
            </w:pPr>
            <w:r>
              <w:rPr>
                <w:rFonts w:ascii="仿宋_GB2312" w:hAnsi="仿宋_GB2312" w:cs="仿宋_GB2312" w:eastAsia="仿宋_GB2312"/>
              </w:rPr>
              <w:t>3.</w:t>
            </w:r>
            <w:r>
              <w:rPr>
                <w:rFonts w:ascii="仿宋_GB2312" w:hAnsi="仿宋_GB2312" w:cs="仿宋_GB2312" w:eastAsia="仿宋_GB2312"/>
              </w:rPr>
              <w:t>成果内容</w:t>
            </w:r>
          </w:p>
          <w:p>
            <w:pPr>
              <w:pStyle w:val="null3"/>
              <w:ind w:firstLine="400"/>
            </w:pPr>
            <w:r>
              <w:rPr>
                <w:rFonts w:ascii="仿宋_GB2312" w:hAnsi="仿宋_GB2312" w:cs="仿宋_GB2312" w:eastAsia="仿宋_GB2312"/>
              </w:rPr>
              <w:t>包含全域土地综合整治实施方案、城乡建设用地增加挂钩实施方案和永久基本农田调整补划方案，每个方案包含文本、图件、数据库及附表。</w:t>
            </w:r>
          </w:p>
          <w:p>
            <w:pPr>
              <w:pStyle w:val="null3"/>
            </w:pPr>
            <w:r>
              <w:rPr>
                <w:rFonts w:ascii="仿宋_GB2312" w:hAnsi="仿宋_GB2312" w:cs="仿宋_GB2312" w:eastAsia="仿宋_GB2312"/>
              </w:rPr>
              <w:t>3.</w:t>
            </w:r>
            <w:r>
              <w:rPr>
                <w:rFonts w:ascii="仿宋_GB2312" w:hAnsi="仿宋_GB2312" w:cs="仿宋_GB2312" w:eastAsia="仿宋_GB2312"/>
              </w:rPr>
              <w:t>1.文本。</w:t>
            </w:r>
          </w:p>
          <w:p>
            <w:pPr>
              <w:pStyle w:val="null3"/>
              <w:ind w:firstLine="400"/>
            </w:pPr>
            <w:r>
              <w:rPr>
                <w:rFonts w:ascii="仿宋_GB2312" w:hAnsi="仿宋_GB2312" w:cs="仿宋_GB2312" w:eastAsia="仿宋_GB2312"/>
              </w:rPr>
              <w:t>全域土地整治实施方案包含项目背景、工作基础、可行性分析及评估、建设目标、建设内容及实施安排、投资估算及资金筹措、效益分析、组织实施等方面内容。城乡建设用地增减挂钩实施方案包括项目区基本情况、实施可行性分析、项目规划方案、项目区实施方案、资金平衡预算、效益评价。永久基本农田调整补划方案包括项目区概况、占用永久基本农田的必要性、占用永久基本农田的合理性、永久基本农田占用情况、永久基本农田补划情况、补划占用对比，结论、相关附件。</w:t>
            </w:r>
          </w:p>
          <w:p>
            <w:pPr>
              <w:pStyle w:val="null3"/>
            </w:pPr>
            <w:r>
              <w:rPr>
                <w:rFonts w:ascii="仿宋_GB2312" w:hAnsi="仿宋_GB2312" w:cs="仿宋_GB2312" w:eastAsia="仿宋_GB2312"/>
              </w:rPr>
              <w:t>3.</w:t>
            </w:r>
            <w:r>
              <w:rPr>
                <w:rFonts w:ascii="仿宋_GB2312" w:hAnsi="仿宋_GB2312" w:cs="仿宋_GB2312" w:eastAsia="仿宋_GB2312"/>
              </w:rPr>
              <w:t>2.图件。</w:t>
            </w:r>
          </w:p>
          <w:p>
            <w:pPr>
              <w:pStyle w:val="null3"/>
              <w:ind w:firstLine="400"/>
            </w:pPr>
            <w:r>
              <w:rPr>
                <w:rFonts w:ascii="仿宋_GB2312" w:hAnsi="仿宋_GB2312" w:cs="仿宋_GB2312" w:eastAsia="仿宋_GB2312"/>
              </w:rPr>
              <w:t>包含但不限于国土空间土地利用现状图、国土空间土地利用规划图、全域土地整治潜力分布图、功能分区调整优化图、全域土地综合整治项目分布图、全域土地综合整治耕地布局调整优化图等。</w:t>
            </w:r>
          </w:p>
          <w:p>
            <w:pPr>
              <w:pStyle w:val="null3"/>
            </w:pPr>
            <w:r>
              <w:rPr>
                <w:rFonts w:ascii="仿宋_GB2312" w:hAnsi="仿宋_GB2312" w:cs="仿宋_GB2312" w:eastAsia="仿宋_GB2312"/>
              </w:rPr>
              <w:t>3.</w:t>
            </w:r>
            <w:r>
              <w:rPr>
                <w:rFonts w:ascii="仿宋_GB2312" w:hAnsi="仿宋_GB2312" w:cs="仿宋_GB2312" w:eastAsia="仿宋_GB2312"/>
              </w:rPr>
              <w:t>3.数据库。</w:t>
            </w:r>
          </w:p>
          <w:p>
            <w:pPr>
              <w:pStyle w:val="null3"/>
            </w:pPr>
            <w:r>
              <w:rPr>
                <w:rFonts w:ascii="仿宋_GB2312" w:hAnsi="仿宋_GB2312" w:cs="仿宋_GB2312" w:eastAsia="仿宋_GB2312"/>
              </w:rPr>
              <w:t>3.</w:t>
            </w:r>
            <w:r>
              <w:rPr>
                <w:rFonts w:ascii="仿宋_GB2312" w:hAnsi="仿宋_GB2312" w:cs="仿宋_GB2312" w:eastAsia="仿宋_GB2312"/>
              </w:rPr>
              <w:t>4.附表。包含但不限于全域土地综合整治项目基本情况表、项目区域内实施前各类项目情况表、项目区域新增耕地情况表、项目区域建设用地整理情况表、全域土地综合整治项目安排表等。</w:t>
            </w:r>
          </w:p>
          <w:p>
            <w:pPr>
              <w:pStyle w:val="null3"/>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符合国家、行业规范要求及采购人要求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完成方案编制并通过行业内专家评审，出具评审意见后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资格证明文件.docx 满足评审办法的方案内容.docx 投标函 残疾人福利性单位声明函 标的清单 投标文件封面 监狱企业的证明文件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供应商应具有独立承担民事责任能力的法人或其他组织或自然人（法人或其他组织提供营业执照或事业单位法人证书等国家规定的相关证明，自然人提供身份证件）；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法定代表人直接参加投标的，须出具法定代表人身份证明书（含法人身份证复印件）；法定代表人授权代表参加的，须出具法定代表人授权书（附法定代表人身份证复印件及被授权人身份证复印件）；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三年内在经营活动中没有重大违法记录的书面声明</w:t>
            </w:r>
          </w:p>
        </w:tc>
        <w:tc>
          <w:tcPr>
            <w:tcW w:type="dxa" w:w="3322"/>
          </w:tcPr>
          <w:p>
            <w:pPr>
              <w:pStyle w:val="null3"/>
            </w:pPr>
            <w:r>
              <w:rPr>
                <w:rFonts w:ascii="仿宋_GB2312" w:hAnsi="仿宋_GB2312" w:cs="仿宋_GB2312" w:eastAsia="仿宋_GB2312"/>
              </w:rPr>
              <w:t>出具参加本次采购活动前三年内在经营活动中没有重大违法记录的书面声明；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经审计的财务报告/资信证明</w:t>
            </w:r>
          </w:p>
        </w:tc>
        <w:tc>
          <w:tcPr>
            <w:tcW w:type="dxa" w:w="3322"/>
          </w:tcPr>
          <w:p>
            <w:pPr>
              <w:pStyle w:val="null3"/>
            </w:pPr>
            <w:r>
              <w:rPr>
                <w:rFonts w:ascii="仿宋_GB2312" w:hAnsi="仿宋_GB2312" w:cs="仿宋_GB2312" w:eastAsia="仿宋_GB2312"/>
              </w:rPr>
              <w:t>提供2023年或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社会保险参保缴费情况证明</w:t>
            </w:r>
          </w:p>
        </w:tc>
        <w:tc>
          <w:tcPr>
            <w:tcW w:type="dxa" w:w="3322"/>
          </w:tcPr>
          <w:p>
            <w:pPr>
              <w:pStyle w:val="null3"/>
            </w:pPr>
            <w:r>
              <w:rPr>
                <w:rFonts w:ascii="仿宋_GB2312" w:hAnsi="仿宋_GB2312" w:cs="仿宋_GB2312" w:eastAsia="仿宋_GB2312"/>
              </w:rPr>
              <w:t>提供响应文件提交截止时间前6个月内任意一个月已缴纳的社会保障资金缴存单据或社保机构开具的社会保险参保缴费情况证明，依法不需要缴纳社会保障资金的应提供相关文件证明；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提供响应文件提交截止时间前6个月内任意一个月已缴纳的完税凭证或税务机关开具的完税证明（任意税种），依法免税的应提供相关文件证明；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供应商应同时具有行业主管部门颁发的城乡规划和土地规划编制乙级及以上资质（含乙级）。</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研究思路说明</w:t>
            </w:r>
          </w:p>
        </w:tc>
        <w:tc>
          <w:tcPr>
            <w:tcW w:type="dxa" w:w="2492"/>
          </w:tcPr>
          <w:p>
            <w:pPr>
              <w:pStyle w:val="null3"/>
            </w:pPr>
            <w:r>
              <w:rPr>
                <w:rFonts w:ascii="仿宋_GB2312" w:hAnsi="仿宋_GB2312" w:cs="仿宋_GB2312" w:eastAsia="仿宋_GB2312"/>
              </w:rPr>
              <w:t>对本项目研究思路的清晰性与合理性以及内容完整性进行评分。 1、思路清晰合理、内容完整的得 10 分； 2、思路较清晰合理、内容较完整的得 7 分； 3、思路不够清晰，内容空泛的得 4 分； 4、思路枯竭，内容简单，不具备可操作性的得1 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满足评审办法的方案内容.docx</w:t>
            </w:r>
          </w:p>
        </w:tc>
      </w:tr>
      <w:tr>
        <w:tc>
          <w:tcPr>
            <w:tcW w:type="dxa" w:w="831"/>
            <w:vMerge/>
          </w:tcPr>
          <w:p/>
        </w:tc>
        <w:tc>
          <w:tcPr>
            <w:tcW w:type="dxa" w:w="1661"/>
          </w:tcPr>
          <w:p>
            <w:pPr>
              <w:pStyle w:val="null3"/>
            </w:pPr>
            <w:r>
              <w:rPr>
                <w:rFonts w:ascii="仿宋_GB2312" w:hAnsi="仿宋_GB2312" w:cs="仿宋_GB2312" w:eastAsia="仿宋_GB2312"/>
              </w:rPr>
              <w:t>对项目的理解</w:t>
            </w:r>
          </w:p>
        </w:tc>
        <w:tc>
          <w:tcPr>
            <w:tcW w:type="dxa" w:w="2492"/>
          </w:tcPr>
          <w:p>
            <w:pPr>
              <w:pStyle w:val="null3"/>
            </w:pPr>
            <w:r>
              <w:rPr>
                <w:rFonts w:ascii="仿宋_GB2312" w:hAnsi="仿宋_GB2312" w:cs="仿宋_GB2312" w:eastAsia="仿宋_GB2312"/>
              </w:rPr>
              <w:t>基于对项目现状和背景的理解，对项目进行分析及研究的正确性和合理性。 1、内容科学详细、明确具体得 10分； 2、内容科学明确但存在瑕疵的得 7分； 3、内容缺失或者描述不详细的得 4分； 4、内容混乱，逻辑不清得1分；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满足评审办法的方案内容.docx</w:t>
            </w:r>
          </w:p>
        </w:tc>
      </w:tr>
      <w:tr>
        <w:tc>
          <w:tcPr>
            <w:tcW w:type="dxa" w:w="831"/>
            <w:vMerge/>
          </w:tcPr>
          <w:p/>
        </w:tc>
        <w:tc>
          <w:tcPr>
            <w:tcW w:type="dxa" w:w="1661"/>
          </w:tcPr>
          <w:p>
            <w:pPr>
              <w:pStyle w:val="null3"/>
            </w:pPr>
            <w:r>
              <w:rPr>
                <w:rFonts w:ascii="仿宋_GB2312" w:hAnsi="仿宋_GB2312" w:cs="仿宋_GB2312" w:eastAsia="仿宋_GB2312"/>
              </w:rPr>
              <w:t>项目实施过程中的重点、难点分析及解决方案，提出有针对性的关键点分析及解决方案，对关键点分析准确，解决方案是否得当进行得分</w:t>
            </w:r>
          </w:p>
        </w:tc>
        <w:tc>
          <w:tcPr>
            <w:tcW w:type="dxa" w:w="2492"/>
          </w:tcPr>
          <w:p>
            <w:pPr>
              <w:pStyle w:val="null3"/>
            </w:pPr>
            <w:r>
              <w:rPr>
                <w:rFonts w:ascii="仿宋_GB2312" w:hAnsi="仿宋_GB2312" w:cs="仿宋_GB2312" w:eastAsia="仿宋_GB2312"/>
              </w:rPr>
              <w:t xml:space="preserve"> （1）供应商根据本项目的实际情况， 提出有针对性的关键点分析及解决方案，且关键点分析准确，解决方案详细得当，得10分； （2）供应商根据本项目的实际情况， 提出较有针对性的关键点分析及解决方案，且关键点分析较为准确，解决方案较为得当，得7分； （3）供应商根据本项目的实际情况， 提出针对性的关键点分析及解决方案一般，得4分； （4）供应商根据本项目的实际情况， 提出的关键点分析及解决方案含糊不清，得 1分； （5）未进行描述的本项不得分。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满足评审办法的方案内容.docx</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专业人员配备合理、全面、满足项目需求，人员分工、岗位职责明确。根据人员架构的设置情况是否充分，是否覆盖与本项目相关的专业技术能力，岗位划分是否清晰，职责是否明确进行得分 (1)项目组人员配备方案非常完整、非常合理，针对性及可实施性非常强，完全满足项目需求得 10分； (2)方案比较完整、比较合理，具有一定的针对性及可实施性，基本满足招标文件要求，得7分； (3)方案完整度一般、合理性一般，针对性及可实施性一般，基本满足招标文件要求，部分满足项目需求得4分； (4)方案表述含糊不清，逻辑性差，不能满足要求得1分； 5）未提供相关内容不得分。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满足评审办法的方案内容.docx</w:t>
            </w:r>
          </w:p>
        </w:tc>
      </w:tr>
      <w:tr>
        <w:tc>
          <w:tcPr>
            <w:tcW w:type="dxa" w:w="831"/>
            <w:vMerge/>
          </w:tcPr>
          <w:p/>
        </w:tc>
        <w:tc>
          <w:tcPr>
            <w:tcW w:type="dxa" w:w="1661"/>
          </w:tcPr>
          <w:p>
            <w:pPr>
              <w:pStyle w:val="null3"/>
            </w:pPr>
            <w:r>
              <w:rPr>
                <w:rFonts w:ascii="仿宋_GB2312" w:hAnsi="仿宋_GB2312" w:cs="仿宋_GB2312" w:eastAsia="仿宋_GB2312"/>
              </w:rPr>
              <w:t>实施建议说明</w:t>
            </w:r>
          </w:p>
        </w:tc>
        <w:tc>
          <w:tcPr>
            <w:tcW w:type="dxa" w:w="2492"/>
          </w:tcPr>
          <w:p>
            <w:pPr>
              <w:pStyle w:val="null3"/>
            </w:pPr>
            <w:r>
              <w:rPr>
                <w:rFonts w:ascii="仿宋_GB2312" w:hAnsi="仿宋_GB2312" w:cs="仿宋_GB2312" w:eastAsia="仿宋_GB2312"/>
              </w:rPr>
              <w:t xml:space="preserve"> 对本项目成果构成的把控与深度认识的准确性，并结合既有规划体系对研究成果实施提出建议。 1、内容科学详细明确具体逻辑性强得 10 分； 2、内容科学明确逻辑性基本清晰但存在瑕疵的得 7分； 3、内容不清晰，逻辑性较差或描述不详细的得 4 分； 4、内容缺失，描述含糊不清得1分；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满足评审办法的方案内容.docx</w:t>
            </w:r>
          </w:p>
        </w:tc>
      </w:tr>
      <w:tr>
        <w:tc>
          <w:tcPr>
            <w:tcW w:type="dxa" w:w="831"/>
            <w:vMerge/>
          </w:tcPr>
          <w:p/>
        </w:tc>
        <w:tc>
          <w:tcPr>
            <w:tcW w:type="dxa" w:w="1661"/>
          </w:tcPr>
          <w:p>
            <w:pPr>
              <w:pStyle w:val="null3"/>
            </w:pPr>
            <w:r>
              <w:rPr>
                <w:rFonts w:ascii="仿宋_GB2312" w:hAnsi="仿宋_GB2312" w:cs="仿宋_GB2312" w:eastAsia="仿宋_GB2312"/>
              </w:rPr>
              <w:t>服务时效性的有效措施</w:t>
            </w:r>
          </w:p>
        </w:tc>
        <w:tc>
          <w:tcPr>
            <w:tcW w:type="dxa" w:w="2492"/>
          </w:tcPr>
          <w:p>
            <w:pPr>
              <w:pStyle w:val="null3"/>
            </w:pPr>
            <w:r>
              <w:rPr>
                <w:rFonts w:ascii="仿宋_GB2312" w:hAnsi="仿宋_GB2312" w:cs="仿宋_GB2312" w:eastAsia="仿宋_GB2312"/>
              </w:rPr>
              <w:t>服务时效性的有效措施。 1、内容科学详细、明确具体得 5 分； 2、内容科学明确但存在瑕疵的得 3 分； 3、内容缺失或者描述不详细的得 1 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满足评审办法的方案内容.docx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针对本项目制定质量保证措施： 1、质量保证措施切实可行、责任明确得 5分； 2、质量保证措施可行性一般、责任较明确得 3分； 3、质量保证措施可行性低、责任不明确得1分。 4、未进行描述的本项不得分。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满足评审办法的方案内容.docx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 xml:space="preserve"> 有切实可行的保密措施及保密方案。 1、方案科学详细、明确具体得 5 分； 2、方案科学明确但存在瑕疵的得 3 分； 3、方案缺失或者描述不详细的得 1 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满足评审办法的方案内容.docx</w:t>
            </w:r>
          </w:p>
        </w:tc>
      </w:tr>
      <w:tr>
        <w:tc>
          <w:tcPr>
            <w:tcW w:type="dxa" w:w="831"/>
            <w:vMerge/>
          </w:tcPr>
          <w:p/>
        </w:tc>
        <w:tc>
          <w:tcPr>
            <w:tcW w:type="dxa" w:w="1661"/>
          </w:tcPr>
          <w:p>
            <w:pPr>
              <w:pStyle w:val="null3"/>
            </w:pPr>
            <w:r>
              <w:rPr>
                <w:rFonts w:ascii="仿宋_GB2312" w:hAnsi="仿宋_GB2312" w:cs="仿宋_GB2312" w:eastAsia="仿宋_GB2312"/>
              </w:rPr>
              <w:t>项目进度安排合理</w:t>
            </w:r>
          </w:p>
        </w:tc>
        <w:tc>
          <w:tcPr>
            <w:tcW w:type="dxa" w:w="2492"/>
          </w:tcPr>
          <w:p>
            <w:pPr>
              <w:pStyle w:val="null3"/>
            </w:pPr>
            <w:r>
              <w:rPr>
                <w:rFonts w:ascii="仿宋_GB2312" w:hAnsi="仿宋_GB2312" w:cs="仿宋_GB2312" w:eastAsia="仿宋_GB2312"/>
              </w:rPr>
              <w:t xml:space="preserve"> 按时按质完成项目任务的实施措施可行性进行评分。 1、实施措施科学详细、明确具体得 5 分； 2、实施措施科学明确但存在瑕疵的得 3 分； 3、实施措施缺失或者描述不详细的得 1 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满足评审办法的方案内容.docx</w:t>
            </w:r>
          </w:p>
        </w:tc>
      </w:tr>
      <w:tr>
        <w:tc>
          <w:tcPr>
            <w:tcW w:type="dxa" w:w="831"/>
            <w:vMerge/>
          </w:tcPr>
          <w:p/>
        </w:tc>
        <w:tc>
          <w:tcPr>
            <w:tcW w:type="dxa" w:w="1661"/>
          </w:tcPr>
          <w:p>
            <w:pPr>
              <w:pStyle w:val="null3"/>
            </w:pPr>
            <w:r>
              <w:rPr>
                <w:rFonts w:ascii="仿宋_GB2312" w:hAnsi="仿宋_GB2312" w:cs="仿宋_GB2312" w:eastAsia="仿宋_GB2312"/>
              </w:rPr>
              <w:t>合理化建议与服务承诺</w:t>
            </w:r>
          </w:p>
        </w:tc>
        <w:tc>
          <w:tcPr>
            <w:tcW w:type="dxa" w:w="2492"/>
          </w:tcPr>
          <w:p>
            <w:pPr>
              <w:pStyle w:val="null3"/>
            </w:pPr>
            <w:r>
              <w:rPr>
                <w:rFonts w:ascii="仿宋_GB2312" w:hAnsi="仿宋_GB2312" w:cs="仿宋_GB2312" w:eastAsia="仿宋_GB2312"/>
              </w:rPr>
              <w:t>合理化建议与服务承诺： 1、内容科学详细、明确具体得 5 分； 2、内容科学明确但存在瑕疵的得 3 分； 3、内容缺失或者描述不详细的得 1 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满足评审办法的方案内容.docx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具有2021年1月1日起至今的同类业绩 （同类业绩指土地综合整治或生态修复规划方案等）。 附清晰的合同扫描件或复印件，以合同签订时间为依据；每提供1个业绩得2分，最多得10分。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具有土地规划或城乡规划（国土空间规划）相关专业的高级（含高级及以上）技术职称和国家注册城市规划师执业资格，得5分。 备注：项目负责人需提供身份证复印件、职称证书和注册证书复印件，未提供得0分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满足评审办法的方案内容.docx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最低的投标报价为评审基准价；投标报价得分=（评审基准价/投标报价）×价格分值符合政府采购政策的供应商，其报价按照招标文件规定折扣后进行评审。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详见附件：满足评审办法的方案内容.docx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