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版本号：ZCSP-铜川市-2025-01031.1B120260113001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铜川市燃气特许经营项目咨询服务(二次)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ZCSP-铜川市-2025-01031.1B1</w:t>
      </w:r>
      <w:r>
        <w:br/>
      </w:r>
      <w:r>
        <w:br/>
      </w:r>
      <w:r>
        <w:br/>
      </w:r>
    </w:p>
    <w:p>
      <w:pPr>
        <w:pStyle w:val="null3"/>
        <w:jc w:val="center"/>
        <w:outlineLvl w:val="2"/>
      </w:pPr>
      <w:r>
        <w:rPr>
          <w:rFonts w:ascii="仿宋_GB2312" w:hAnsi="仿宋_GB2312" w:cs="仿宋_GB2312" w:eastAsia="仿宋_GB2312"/>
          <w:sz w:val="28"/>
          <w:b/>
        </w:rPr>
        <w:t>铜川市城市管理执法局</w:t>
      </w:r>
    </w:p>
    <w:p>
      <w:pPr>
        <w:pStyle w:val="null3"/>
        <w:jc w:val="center"/>
        <w:outlineLvl w:val="2"/>
      </w:pPr>
      <w:r>
        <w:rPr>
          <w:rFonts w:ascii="仿宋_GB2312" w:hAnsi="仿宋_GB2312" w:cs="仿宋_GB2312" w:eastAsia="仿宋_GB2312"/>
          <w:sz w:val="28"/>
          <w:b/>
        </w:rPr>
        <w:t>陕西通安项目管理有限公司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陕西通安项目管理有限公司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铜川市城市管理执法局</w:t>
      </w:r>
      <w:r>
        <w:rPr>
          <w:rFonts w:ascii="仿宋_GB2312" w:hAnsi="仿宋_GB2312" w:cs="仿宋_GB2312" w:eastAsia="仿宋_GB2312"/>
        </w:rPr>
        <w:t>委托，拟对</w:t>
      </w:r>
      <w:r>
        <w:rPr>
          <w:rFonts w:ascii="仿宋_GB2312" w:hAnsi="仿宋_GB2312" w:cs="仿宋_GB2312" w:eastAsia="仿宋_GB2312"/>
        </w:rPr>
        <w:t>铜川市燃气特许经营项目咨询服务(二次)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ZCSP-铜川市-2025-01031.1B1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铜川市燃气特许经营项目咨询服务(二次)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为保证该项目顺利实施，拟聘请第三方专业机构开展铜川市燃气特许经营咨询服务。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采购包1（铜川市燃气特许经营项目咨询服务）：属于专门面向中小企业采购。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近三年任意一年的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供应商需在项目电子化交易系统中按要求上传相应证明文件并进行电子签章。</w:t>
      </w:r>
    </w:p>
    <w:p>
      <w:pPr>
        <w:pStyle w:val="null3"/>
      </w:pPr>
      <w:r>
        <w:rPr>
          <w:rFonts w:ascii="仿宋_GB2312" w:hAnsi="仿宋_GB2312" w:cs="仿宋_GB2312" w:eastAsia="仿宋_GB2312"/>
        </w:rPr>
        <w:t>3、税收交纳证明：提供响应文件递交截止时间前一年内任意一个月的缴费凭据（依法免税的供应商应提供相关文件证明）；</w:t>
      </w:r>
    </w:p>
    <w:p>
      <w:pPr>
        <w:pStyle w:val="null3"/>
      </w:pPr>
      <w:r>
        <w:rPr>
          <w:rFonts w:ascii="仿宋_GB2312" w:hAnsi="仿宋_GB2312" w:cs="仿宋_GB2312" w:eastAsia="仿宋_GB2312"/>
        </w:rPr>
        <w:t>4、社会保障资金交纳证明：提供响应文件递交截止时间前一年内任意一个月的社保缴费凭据或社保机构开具的社会保险参保缴费情况证明（依法不需要缴纳社会保障资金的供应商应提供相关证明）；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5、承诺、说明及书面声明：1、提供具有履行本合同所必需的设备和专业技术能力的说明及承诺； 2、提供参加政府采购活动前三年内在经营活动中没有重大违法记录的书面声明；</w:t>
      </w:r>
    </w:p>
    <w:p>
      <w:pPr>
        <w:pStyle w:val="null3"/>
      </w:pPr>
      <w:r>
        <w:rPr>
          <w:rFonts w:ascii="仿宋_GB2312" w:hAnsi="仿宋_GB2312" w:cs="仿宋_GB2312" w:eastAsia="仿宋_GB2312"/>
        </w:rPr>
        <w:t>6、法定代表人授权书/法定代表人身份证明：法定代表人参与磋商时需提供法定代表人身份证复印件；被授权人参与磋商时需提供法定代表人授权委托书；</w:t>
      </w:r>
    </w:p>
    <w:p>
      <w:pPr>
        <w:pStyle w:val="null3"/>
      </w:pPr>
      <w:r>
        <w:rPr>
          <w:rFonts w:ascii="仿宋_GB2312" w:hAnsi="仿宋_GB2312" w:cs="仿宋_GB2312" w:eastAsia="仿宋_GB2312"/>
        </w:rPr>
        <w:t>7、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铜川新区长虹路6号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郭小东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13324680721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陕西通安项目管理有限公司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陕西省铜川市耀州区大唐五路以南与樱园路以西交汇处产发大厦五楼503室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13991589128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 [2002]1980号）和（发改办价格[2011]534号）文件规定标准下浮5%计取。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铜川市城市管理执法局</w:t>
      </w:r>
      <w:r>
        <w:rPr>
          <w:rFonts w:ascii="仿宋_GB2312" w:hAnsi="仿宋_GB2312" w:cs="仿宋_GB2312" w:eastAsia="仿宋_GB2312"/>
        </w:rPr>
        <w:t>和</w:t>
      </w:r>
      <w:r>
        <w:rPr>
          <w:rFonts w:ascii="仿宋_GB2312" w:hAnsi="仿宋_GB2312" w:cs="仿宋_GB2312" w:eastAsia="仿宋_GB2312"/>
        </w:rPr>
        <w:t>陕西通安项目管理有限公司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陕西通安项目管理有限公司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陕西通安项目管理有限公司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以双方最终签订的合同内具体条款约定为准。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陕西通安项目管理有限公司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陕西通安项目管理有限公司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陕西通安项目管理有限公司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联系电话：13991589128</w:t>
      </w:r>
    </w:p>
    <w:p>
      <w:pPr>
        <w:pStyle w:val="null3"/>
      </w:pPr>
      <w:r>
        <w:rPr>
          <w:rFonts w:ascii="仿宋_GB2312" w:hAnsi="仿宋_GB2312" w:cs="仿宋_GB2312" w:eastAsia="仿宋_GB2312"/>
        </w:rPr>
        <w:t>地址：陕西省铜川市耀州区大唐五路以南与樱园路以西交汇处产发大厦五楼503室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为保证该项目顺利实施，拟聘请第三方专业机构开展铜川市燃气特许经营咨询服务。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1、编制《铜川市燃气特许经营项目实施方案》；</w:t>
            </w:r>
          </w:p>
          <w:p>
            <w:pPr>
              <w:pStyle w:val="null3"/>
              <w:jc w:val="both"/>
            </w:pPr>
            <w:r>
              <w:rPr>
                <w:rFonts w:ascii="仿宋_GB2312" w:hAnsi="仿宋_GB2312" w:cs="仿宋_GB2312" w:eastAsia="仿宋_GB2312"/>
                <w:sz w:val="24"/>
              </w:rPr>
              <w:t>2、起草《铜川市燃气特许经营协议》；</w:t>
            </w:r>
          </w:p>
          <w:p>
            <w:pPr>
              <w:pStyle w:val="null3"/>
              <w:jc w:val="both"/>
            </w:pPr>
            <w:r>
              <w:rPr>
                <w:rFonts w:ascii="仿宋_GB2312" w:hAnsi="仿宋_GB2312" w:cs="仿宋_GB2312" w:eastAsia="仿宋_GB2312"/>
                <w:sz w:val="24"/>
              </w:rPr>
              <w:t>3、论证特许经营授权程序，按政府批准的程序组织特许经营授权；</w:t>
            </w:r>
          </w:p>
          <w:p>
            <w:pPr>
              <w:pStyle w:val="null3"/>
              <w:jc w:val="both"/>
            </w:pPr>
            <w:r>
              <w:rPr>
                <w:rFonts w:ascii="仿宋_GB2312" w:hAnsi="仿宋_GB2312" w:cs="仿宋_GB2312" w:eastAsia="仿宋_GB2312"/>
                <w:sz w:val="24"/>
              </w:rPr>
              <w:t>4、代表委托方与选定的特许经营者开展商务谈判；</w:t>
            </w:r>
          </w:p>
          <w:p>
            <w:pPr>
              <w:pStyle w:val="null3"/>
              <w:jc w:val="both"/>
            </w:pPr>
            <w:r>
              <w:rPr>
                <w:rFonts w:ascii="仿宋_GB2312" w:hAnsi="仿宋_GB2312" w:cs="仿宋_GB2312" w:eastAsia="仿宋_GB2312"/>
                <w:sz w:val="24"/>
              </w:rPr>
              <w:t>5、协调委托方聘请的其他专业机构（如资产评估机构等）的工作；</w:t>
            </w:r>
          </w:p>
          <w:p>
            <w:pPr>
              <w:pStyle w:val="null3"/>
              <w:jc w:val="both"/>
            </w:pPr>
            <w:r>
              <w:rPr>
                <w:rFonts w:ascii="仿宋_GB2312" w:hAnsi="仿宋_GB2312" w:cs="仿宋_GB2312" w:eastAsia="仿宋_GB2312"/>
                <w:sz w:val="24"/>
              </w:rPr>
              <w:t>6、完成委托方交办的其他相关工作。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 (2016) 205号)。自行组织验收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铜川市人民政府批复了《铜川市燃气特许经营实施方案》后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铜川市城市管理执法局与特许经营者签署了《铜川市燃气特许经营协议》后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以双方最终签订的合同内具体条款约定为准。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近三年任意一年的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近三年任意一年的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提供响应文件递交截止时间前一年内任意一个月的缴费凭据（依法免税的供应商应提供相关文件证明）；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提供响应文件递交截止时间前一年内任意一个月的社保缴费凭据或社保机构开具的社会保险参保缴费情况证明（依法不需要缴纳社会保障资金的供应商应提供相关证明）；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承诺、说明及书面声明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法定代表人参与磋商时需提供法定代表人身份证复印件；被授权人参与磋商时需提供法定代表人授权委托书；</w:t>
            </w:r>
          </w:p>
        </w:tc>
        <w:tc>
          <w:tcPr>
            <w:tcW w:type="dxa" w:w="1661"/>
          </w:tcPr>
          <w:p>
            <w:pPr>
              <w:pStyle w:val="null3"/>
            </w:pPr>
            <w:r>
              <w:rPr>
                <w:rFonts w:ascii="仿宋_GB2312" w:hAnsi="仿宋_GB2312" w:cs="仿宋_GB2312" w:eastAsia="仿宋_GB2312"/>
              </w:rPr>
              <w:t>供应商应提交的相关资格证明材料.docx 法定代表人身份证明书.docx 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或由法定代表人或授权人签名（或盖章），其余页面逐页盖公章，否则将作为无效响应文件处理。磋商文件凡是要求法定代表人签名或盖章之处，非法人单位的负责人参照执行。</w:t>
            </w:r>
          </w:p>
        </w:tc>
        <w:tc>
          <w:tcPr>
            <w:tcW w:type="dxa" w:w="1661"/>
          </w:tcPr>
          <w:p>
            <w:pPr>
              <w:pStyle w:val="null3"/>
            </w:pPr>
            <w:r>
              <w:rPr>
                <w:rFonts w:ascii="仿宋_GB2312" w:hAnsi="仿宋_GB2312" w:cs="仿宋_GB2312" w:eastAsia="仿宋_GB2312"/>
              </w:rPr>
              <w:t>服务内容及服务邀请应答表 供应商认为有必要补充说明的事宜（若有）.docx 中小企业声明函 商务应答表 报价表 响应文件封面 供应商应提交的相关资格证明材料.docx 法定代表人身份证明书.docx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应满足磋商文件中规定的90天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响应文件所有报价未超过采购限额</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现状及需求分析</w:t>
            </w:r>
          </w:p>
        </w:tc>
        <w:tc>
          <w:tcPr>
            <w:tcW w:type="dxa" w:w="2492"/>
          </w:tcPr>
          <w:p>
            <w:pPr>
              <w:pStyle w:val="null3"/>
            </w:pPr>
            <w:r>
              <w:rPr>
                <w:rFonts w:ascii="仿宋_GB2312" w:hAnsi="仿宋_GB2312" w:cs="仿宋_GB2312" w:eastAsia="仿宋_GB2312"/>
              </w:rPr>
              <w:t>应商提供针对本项目现状及需求分析，内容包括但不限于：①对中省、铜川市燃气特许经营有关政策、规划现状的理解；②对本项目的业务现状分析；③对本项目业务需求分析。共3项内容，每项满分4分（共12分）。内容完整，可行性、针对性强，完全满足采购需求，得满分，每有一处内容存在缺陷，扣0.5分，扣完为止。 注：①缺陷是指内容不合理、虽有内容但不完善、内容表述前后不一致，与项目需求不匹配及其他不利于项目实施等任意一种情形。②每一项评审内容不提供或完全背离评审标准得0分。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供应商提供针对本项目实施计划，计划包括但不限于：①时间计划；②资源配置计划；③重点环节进度控制；④项目整体验收计划。共4项内容，每项满分3分（共12分） 。内容完整，可行性、针对性强，完全满足采购需求，得满分，每有一处内容存在缺陷，扣0.5分，扣完为止。 注：①缺陷是指内容不合理、虽有内容但不完善、内容表述前后不一致，与项目需求不匹配及其他不利于项目实施等任意一种情形。②每一项评审内容不提供或完全背离评审标准得0分。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合理化建议包括但不限于①对燃气特许经营的指导思想和目标设定方向提出合理化建议；②对燃气特许经营的重点任务提出合理化建议。共2项内容，每项满分4分（共8分）内容完整，可行性、针对性强，完全满足采购需求，得满分，每有一处内容存在缺陷，扣0.5分，扣完为止。 注：①缺陷是指内容不合理、虽有内容但不完善、内容表述前后不一致，与项目需求不匹配及其他不利于项目实施等任意一种情形。②每一项评审内容不提供或完全背离评审标准得0分。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供应商提供针对本项目的服务方案，服务方案包括但不限于①服务架构；②服务范围；③服务内容；④服务流程；⑤交付物；共5项内容，每项满分4 分（共20分）内容完整，可行性、针对性强，完全满足采购需求，得满分，每有一处内容存在缺陷，扣0.5分，扣完为止。 注：①缺陷是指内容不合理、虽有内容但不完善、内容表述前后不一致，与项目需求不匹配及其他不利于项目实施等任意一种情形。②每一项评审内容不提供或完全背离评审标准得0分。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保障措施及承诺</w:t>
            </w:r>
          </w:p>
        </w:tc>
        <w:tc>
          <w:tcPr>
            <w:tcW w:type="dxa" w:w="2492"/>
          </w:tcPr>
          <w:p>
            <w:pPr>
              <w:pStyle w:val="null3"/>
            </w:pPr>
            <w:r>
              <w:rPr>
                <w:rFonts w:ascii="仿宋_GB2312" w:hAnsi="仿宋_GB2312" w:cs="仿宋_GB2312" w:eastAsia="仿宋_GB2312"/>
              </w:rPr>
              <w:t>供应商提供针对本项目的保障措施及承诺，保障措施及承诺包括但不限于①服务质量保证措施及承诺；② 项目实施进度计划及保障；③保密措施及承诺。共3项内容，每项满分3分（共9分）内容完整，可行性、针对性强，完全满足采购需求，得满分，每有一处内容存在缺陷，扣0.5分，扣完为止。 注：①缺陷是指内容不合理、虽有内容但不完善、内容表述前后不一致，与项目需求不匹配及其他不利于项目实施等任意一种情形。②每一项评审内容不提供或完全背离评审标准得0分。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供应商提供针对本项目的组织保障方案，组织保障方案包括但不限于①管理组织架构、人员分工；②工作职责划分；③业务管理流程等内容。共3项内容，每项满分3分（共9分）。内容完整，可行性、针对性强，完全满足采购需求，得满分，每有一处内容存在缺陷，扣0.5分，扣完为止。 注：①缺陷是指内容不合理、虽有内容但不完善、内容表述前后不一致，与项目需求不匹配及其他不利于项目实施等任意一种情形。②每一项评审内容不提供或完全背离评审标准得0分。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1.项目负责人：拟派项目负责人具有经济类专业硕士研究生及以上学历、经济类中级及以上专业技术职称，全部满足4分，每缺1个证书扣2分，未提供不得分。 备注：须同时提供人员相关证书及在本单位履职的证明材料，并加盖公章。 2.项目团队：除项目负责人，项目团队成员专业包括（法律、财务和经济管理类本科及以上学历或中级职称）的不少于3人，每提供一个得2分，本小项最高得6分。备注：相同人员不重复计分，须同时提供以上人员相关证书及在本单位履职的证明材料，并加盖公章，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以供应商提供2021年1月1日至今（以合同签订日期为准，提供合同复印件或扫描件加盖公章）的类似项目业绩（特许经营或PPP咨询项目），每提供1份得2.5分，最高计10分。未提供或不清晰导致无法识别的不予认可。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满足竞争性磋商文件要求且评审报价最低的报价为评标基准价，其价格分为满分。其他供应商的价格分统一按照下列公式计算: 磋商报价得分=(评标基准价/磋商报价)x价格权值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详见附件：供应商认为有必要补充说明的事宜（若有）.docx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