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版本号：DZZFCG-2026-0120260119001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2026年“铜川年货大集”活动项目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DZZFCG-2026-01</w:t>
      </w:r>
      <w:r>
        <w:br/>
      </w:r>
      <w:r>
        <w:br/>
      </w:r>
      <w:r>
        <w:br/>
      </w:r>
    </w:p>
    <w:p>
      <w:pPr>
        <w:pStyle w:val="null3"/>
        <w:jc w:val="center"/>
        <w:outlineLvl w:val="2"/>
      </w:pPr>
      <w:r>
        <w:rPr>
          <w:rFonts w:ascii="仿宋_GB2312" w:hAnsi="仿宋_GB2312" w:cs="仿宋_GB2312" w:eastAsia="仿宋_GB2312"/>
          <w:sz w:val="28"/>
          <w:b/>
        </w:rPr>
        <w:t>铜川市商务局</w:t>
      </w:r>
    </w:p>
    <w:p>
      <w:pPr>
        <w:pStyle w:val="null3"/>
        <w:jc w:val="center"/>
        <w:outlineLvl w:val="2"/>
      </w:pPr>
      <w:r>
        <w:rPr>
          <w:rFonts w:ascii="仿宋_GB2312" w:hAnsi="仿宋_GB2312" w:cs="仿宋_GB2312" w:eastAsia="仿宋_GB2312"/>
          <w:sz w:val="28"/>
          <w:b/>
        </w:rPr>
        <w:t>鼎正众创建设集团有限公司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鼎正众创建设集团有限公司</w:t>
      </w:r>
      <w:r>
        <w:rPr>
          <w:rFonts w:ascii="仿宋_GB2312" w:hAnsi="仿宋_GB2312" w:cs="仿宋_GB2312" w:eastAsia="仿宋_GB2312"/>
        </w:rPr>
        <w:t>（以下简称“代理机构”）受</w:t>
      </w:r>
      <w:r>
        <w:rPr>
          <w:rFonts w:ascii="仿宋_GB2312" w:hAnsi="仿宋_GB2312" w:cs="仿宋_GB2312" w:eastAsia="仿宋_GB2312"/>
        </w:rPr>
        <w:t>铜川市商务局</w:t>
      </w:r>
      <w:r>
        <w:rPr>
          <w:rFonts w:ascii="仿宋_GB2312" w:hAnsi="仿宋_GB2312" w:cs="仿宋_GB2312" w:eastAsia="仿宋_GB2312"/>
        </w:rPr>
        <w:t>委托，拟对</w:t>
      </w:r>
      <w:r>
        <w:rPr>
          <w:rFonts w:ascii="仿宋_GB2312" w:hAnsi="仿宋_GB2312" w:cs="仿宋_GB2312" w:eastAsia="仿宋_GB2312"/>
        </w:rPr>
        <w:t>2026年“铜川年货大集”活动项目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DZZFCG-2026-01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2026年“铜川年货大集”活动项目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2026年“铜川年货大集”活动项目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采购包1（2026年铜川年货大集活动项目）：属于专门面向中小企业采购。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0919-3185764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鼎正众创建设集团有限公司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陕西省西安市雁塔区高新区科技路金桥国际广场12009号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18991595778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铜川市商务局</w:t>
      </w:r>
      <w:r>
        <w:rPr>
          <w:rFonts w:ascii="仿宋_GB2312" w:hAnsi="仿宋_GB2312" w:cs="仿宋_GB2312" w:eastAsia="仿宋_GB2312"/>
        </w:rPr>
        <w:t>和</w:t>
      </w:r>
      <w:r>
        <w:rPr>
          <w:rFonts w:ascii="仿宋_GB2312" w:hAnsi="仿宋_GB2312" w:cs="仿宋_GB2312" w:eastAsia="仿宋_GB2312"/>
        </w:rPr>
        <w:t>鼎正众创建设集团有限公司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铜川市商务局</w:t>
      </w:r>
      <w:r>
        <w:rPr>
          <w:rFonts w:ascii="仿宋_GB2312" w:hAnsi="仿宋_GB2312" w:cs="仿宋_GB2312" w:eastAsia="仿宋_GB2312"/>
        </w:rPr>
        <w:t>负责解释。除上述磋商文件内容，其他内容由</w:t>
      </w:r>
      <w:r>
        <w:rPr>
          <w:rFonts w:ascii="仿宋_GB2312" w:hAnsi="仿宋_GB2312" w:cs="仿宋_GB2312" w:eastAsia="仿宋_GB2312"/>
        </w:rPr>
        <w:t>鼎正众创建设集团有限公司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鼎正众创建设集团有限公司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满足采购人需求，符合国家或者行业相关标准和技术规范。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鼎正众创建设集团有限公司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联系电话：18991595778</w:t>
      </w:r>
    </w:p>
    <w:p>
      <w:pPr>
        <w:pStyle w:val="null3"/>
      </w:pPr>
      <w:r>
        <w:rPr>
          <w:rFonts w:ascii="仿宋_GB2312" w:hAnsi="仿宋_GB2312" w:cs="仿宋_GB2312" w:eastAsia="仿宋_GB2312"/>
        </w:rPr>
        <w:t>地址：陕西省西安市雁塔区高新区科技路金桥国际广场12009号</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2026年“铜川年货大集”活动项目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2026年铜川年货大集活动项目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标的名称：2026年铜川年货大集活动项目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4"/>
              </w:rPr>
              <w:t>采购内容</w:t>
            </w:r>
          </w:p>
          <w:p>
            <w:pPr>
              <w:pStyle w:val="null3"/>
              <w:ind w:firstLine="560"/>
              <w:jc w:val="both"/>
            </w:pPr>
            <w:r>
              <w:rPr>
                <w:rFonts w:ascii="仿宋_GB2312" w:hAnsi="仿宋_GB2312" w:cs="仿宋_GB2312" w:eastAsia="仿宋_GB2312"/>
                <w:sz w:val="24"/>
              </w:rPr>
              <w:t>为深入贯彻落实省、市八场硬仗工作部署，扎实推进提振消费硬仗落地见效，进一步激活节日消费市场，丰富市民年货采购需求</w:t>
            </w:r>
            <w:r>
              <w:rPr>
                <w:rFonts w:ascii="仿宋_GB2312" w:hAnsi="仿宋_GB2312" w:cs="仿宋_GB2312" w:eastAsia="仿宋_GB2312"/>
                <w:sz w:val="24"/>
              </w:rPr>
              <w:t>;同时，以活动为契机打造"铜川大集"区域品牌，推动消费促进活动常态化开展，持续提升铜川特色产品知名度和市场影响力。计划举办2026年"铜川年货大集"活动，集中展销本地和省内各地市名优特产、非遗文创产品、日用消费品等年货商品，营造浓厚节日消费氛围。</w:t>
            </w:r>
          </w:p>
          <w:p>
            <w:pPr>
              <w:pStyle w:val="null3"/>
              <w:ind w:firstLine="560"/>
              <w:jc w:val="both"/>
            </w:pPr>
            <w:r>
              <w:rPr>
                <w:rFonts w:ascii="仿宋_GB2312" w:hAnsi="仿宋_GB2312" w:cs="仿宋_GB2312" w:eastAsia="仿宋_GB2312"/>
                <w:sz w:val="24"/>
              </w:rPr>
              <w:t>一、</w:t>
            </w:r>
            <w:r>
              <w:rPr>
                <w:rFonts w:ascii="仿宋_GB2312" w:hAnsi="仿宋_GB2312" w:cs="仿宋_GB2312" w:eastAsia="仿宋_GB2312"/>
                <w:sz w:val="24"/>
              </w:rPr>
              <w:t>计划活动时间</w:t>
            </w:r>
          </w:p>
          <w:p>
            <w:pPr>
              <w:pStyle w:val="null3"/>
              <w:ind w:firstLine="560"/>
              <w:jc w:val="both"/>
            </w:pPr>
            <w:r>
              <w:rPr>
                <w:rFonts w:ascii="仿宋_GB2312" w:hAnsi="仿宋_GB2312" w:cs="仿宋_GB2312" w:eastAsia="仿宋_GB2312"/>
                <w:sz w:val="24"/>
              </w:rPr>
              <w:t>2026年2月6日-26日(共21天，腊月十九至正月初十)</w:t>
            </w:r>
          </w:p>
          <w:p>
            <w:pPr>
              <w:pStyle w:val="null3"/>
              <w:ind w:firstLine="560"/>
              <w:jc w:val="both"/>
            </w:pPr>
            <w:r>
              <w:rPr>
                <w:rFonts w:ascii="仿宋_GB2312" w:hAnsi="仿宋_GB2312" w:cs="仿宋_GB2312" w:eastAsia="仿宋_GB2312"/>
                <w:sz w:val="24"/>
              </w:rPr>
              <w:t>二、</w:t>
            </w:r>
            <w:r>
              <w:rPr>
                <w:rFonts w:ascii="仿宋_GB2312" w:hAnsi="仿宋_GB2312" w:cs="仿宋_GB2312" w:eastAsia="仿宋_GB2312"/>
                <w:sz w:val="24"/>
              </w:rPr>
              <w:t>活动主题</w:t>
            </w:r>
          </w:p>
          <w:p>
            <w:pPr>
              <w:pStyle w:val="null3"/>
              <w:ind w:firstLine="560"/>
              <w:jc w:val="both"/>
            </w:pPr>
            <w:r>
              <w:rPr>
                <w:rFonts w:ascii="仿宋_GB2312" w:hAnsi="仿宋_GB2312" w:cs="仿宋_GB2312" w:eastAsia="仿宋_GB2312"/>
                <w:sz w:val="24"/>
              </w:rPr>
              <w:t>本次活动以</w:t>
            </w:r>
            <w:r>
              <w:rPr>
                <w:rFonts w:ascii="仿宋_GB2312" w:hAnsi="仿宋_GB2312" w:cs="仿宋_GB2312" w:eastAsia="仿宋_GB2312"/>
                <w:sz w:val="24"/>
              </w:rPr>
              <w:t>"铜川年货大集"为主题，旨在通过此次活动，在全省范围打响铜川品牌，活跃节日市场、引导节庆消费、打造宣传铜川名优产品的供需衔接平台。</w:t>
            </w:r>
          </w:p>
          <w:p>
            <w:pPr>
              <w:pStyle w:val="null3"/>
              <w:ind w:firstLine="560"/>
              <w:jc w:val="both"/>
            </w:pPr>
            <w:r>
              <w:rPr>
                <w:rFonts w:ascii="仿宋_GB2312" w:hAnsi="仿宋_GB2312" w:cs="仿宋_GB2312" w:eastAsia="仿宋_GB2312"/>
                <w:sz w:val="24"/>
              </w:rPr>
              <w:t>三、</w:t>
            </w:r>
            <w:r>
              <w:rPr>
                <w:rFonts w:ascii="仿宋_GB2312" w:hAnsi="仿宋_GB2312" w:cs="仿宋_GB2312" w:eastAsia="仿宋_GB2312"/>
                <w:sz w:val="24"/>
              </w:rPr>
              <w:t>采购内容</w:t>
            </w:r>
          </w:p>
          <w:p>
            <w:pPr>
              <w:pStyle w:val="null3"/>
              <w:ind w:firstLine="560"/>
              <w:jc w:val="both"/>
            </w:pPr>
            <w:r>
              <w:rPr>
                <w:rFonts w:ascii="仿宋_GB2312" w:hAnsi="仿宋_GB2312" w:cs="仿宋_GB2312" w:eastAsia="仿宋_GB2312"/>
                <w:sz w:val="24"/>
              </w:rPr>
              <w:t>满足采购人需求完成项目所需的展位搭建、场地租赁、水电保障、保洁保安服务、宣传及氛围营造、后续拆除等工作。</w:t>
            </w:r>
          </w:p>
          <w:p>
            <w:pPr>
              <w:pStyle w:val="null3"/>
              <w:ind w:firstLine="560"/>
              <w:jc w:val="both"/>
            </w:pPr>
            <w:r>
              <w:rPr>
                <w:rFonts w:ascii="仿宋_GB2312" w:hAnsi="仿宋_GB2312" w:cs="仿宋_GB2312" w:eastAsia="仿宋_GB2312"/>
                <w:sz w:val="24"/>
              </w:rPr>
              <w:t>（一）线下：设置年货大集各类展区</w:t>
            </w:r>
            <w:r>
              <w:rPr>
                <w:rFonts w:ascii="仿宋_GB2312" w:hAnsi="仿宋_GB2312" w:cs="仿宋_GB2312" w:eastAsia="仿宋_GB2312"/>
                <w:sz w:val="24"/>
              </w:rPr>
              <w:t>①各地老字号及名优品牌专区（40家以上）；②铜川好物、陕西好物区；③生鲜果蔬区；④特色农产品区；⑤干货肉制品区（蒸碗、卤制品、糖果、干果）；⑥陶瓷工艺品区；⑦家居百货区；⑧民俗文创非遗展示区；⑨地标美食嘉年华；⑩以旧换新、家政服务宣传区。以上各类商家，市内采取各区县推荐和邀请方式，市域外采用招商方式征集。</w:t>
            </w:r>
          </w:p>
          <w:p>
            <w:pPr>
              <w:pStyle w:val="null3"/>
              <w:ind w:firstLine="560"/>
              <w:jc w:val="both"/>
            </w:pPr>
            <w:r>
              <w:rPr>
                <w:rFonts w:ascii="仿宋_GB2312" w:hAnsi="仿宋_GB2312" w:cs="仿宋_GB2312" w:eastAsia="仿宋_GB2312"/>
                <w:sz w:val="24"/>
              </w:rPr>
              <w:t>（二）线上：创新采用</w:t>
            </w:r>
            <w:r>
              <w:rPr>
                <w:rFonts w:ascii="仿宋_GB2312" w:hAnsi="仿宋_GB2312" w:cs="仿宋_GB2312" w:eastAsia="仿宋_GB2312"/>
                <w:sz w:val="24"/>
              </w:rPr>
              <w:t>“年货探集+生活服务联动”模式，邀请多位流量主播以“一起去探大集”为主题开展直播带货，聚焦年货节优质商品进行沉浸式展示与销售，助力参展企业拓展线上渠道；同时延伸直播场景，同步开展年夜饭套餐、热门酒店的探店推介，以及家政上门服务（含深度保洁、玻璃清洁、上门烹饪等）的专场推广，以主播亲身体验、实时互动的形式，全方位激活春节期间铜川住宿、餐饮、家政等生活服务消费需求。</w:t>
            </w:r>
            <w:r>
              <w:br/>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具有项目专业人员配置。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项目完成采购人验收合格（合同支付双方签订合同时具体约定）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项目的理解、内容包括：①项目背景的解读与分析②采购内容③采购目标④实施思路。评审标准：各部分内容全面详细、阐述条理清晰详尽、符合本项目采购需求，能保障本项目实施得10分；评审内容每缺一项扣2.5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评审内容：供应商针对本次项目提供具体详细可行的服务方案，内容包括：①整体实施方案②会场规划解决方案③组织实施情况④会场搭建及拆除方案。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评审内容：供应商针对本次项目制定进度计划方案，内容包括：①项目实施②工作内容安排③进度保障措施。 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评审内容：供应商提供针对本项目所配备的人员及设备，内容包括：①服务团队 ②内部职责分工③拟投入本次服务项目的设施设备。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实施过程中可能出现的突发事件提供应急方案（包括但不限于①应急事件分类；②应急机制；③应急响应时间；④应急人员；⑤应急保障措施等）。方案各部分内容全面详细、阐述条理清晰详尽、符合本项目采购需求，能有效保障本项目实施的计15分，每有一个缺项扣3分，每有一项内容不完整或有缺陷或与项目不匹配的，扣0.5分，扣完为止。说明:内容不完整或有缺陷或与项目不匹配是指:非专门针对本项目或不适用项目特性的情形、内容不完整或缺少关键节点、套用其他项目方案、内容前后矛盾、出现常识性错误、存在不适用项目实际情况的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①质量管理体系②质量保障措施③服务承诺；评审标准：各部分内容全面详细、阐述条理清晰详尽、符合本项目采购需求，能保障本项目实施得12分；评审内容每缺一项扣4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评审内容：供应商应针对本项目提供完善的服务承诺及合理化建议。内容报告： ①服务承诺②合理化建议； 评审标准：各部分内容全面详细、阐述条理清晰详尽、符合本项目采购需求，能保障本项目实施得10分；评审内容每缺一项扣5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5分；评审内容缺项5分，扣完为止；评审内容有一项内容缺陷扣1分，扣完为止。（缺陷是指：内容描述过于简单、条理不清晰、与项目内容不匹配、凭空编造、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供应商提供2023年至今（以合同签订日期为准）类似项目业绩，以合同复印件为准，每一份计0.5分，最多计2分。评审标准：业绩证明材料（以磋商响应文件中提供的合同复印件为准）。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