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版本号：YAZBTC-2026-00120260131001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铜川市山水林田湖草生态大数据管理平台2026年运维项目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YAZBTC-2026-001</w:t>
      </w:r>
      <w:r>
        <w:br/>
      </w:r>
      <w:r>
        <w:br/>
      </w:r>
      <w:r>
        <w:br/>
      </w:r>
    </w:p>
    <w:p>
      <w:pPr>
        <w:pStyle w:val="null3"/>
        <w:jc w:val="center"/>
        <w:outlineLvl w:val="2"/>
      </w:pPr>
      <w:r>
        <w:rPr>
          <w:rFonts w:ascii="仿宋_GB2312" w:hAnsi="仿宋_GB2312" w:cs="仿宋_GB2312" w:eastAsia="仿宋_GB2312"/>
          <w:sz w:val="28"/>
          <w:b/>
        </w:rPr>
        <w:t>铜川市生态环境局</w:t>
      </w:r>
    </w:p>
    <w:p>
      <w:pPr>
        <w:pStyle w:val="null3"/>
        <w:jc w:val="center"/>
        <w:outlineLvl w:val="2"/>
      </w:pPr>
      <w:r>
        <w:rPr>
          <w:rFonts w:ascii="仿宋_GB2312" w:hAnsi="仿宋_GB2312" w:cs="仿宋_GB2312" w:eastAsia="仿宋_GB2312"/>
          <w:sz w:val="28"/>
          <w:b/>
        </w:rPr>
        <w:t>镱安项目管理有限公司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镱安项目管理有限公司</w:t>
      </w:r>
      <w:r>
        <w:rPr>
          <w:rFonts w:ascii="仿宋_GB2312" w:hAnsi="仿宋_GB2312" w:cs="仿宋_GB2312" w:eastAsia="仿宋_GB2312"/>
        </w:rPr>
        <w:t>（以下简称“代理机构”）受</w:t>
      </w:r>
      <w:r>
        <w:rPr>
          <w:rFonts w:ascii="仿宋_GB2312" w:hAnsi="仿宋_GB2312" w:cs="仿宋_GB2312" w:eastAsia="仿宋_GB2312"/>
        </w:rPr>
        <w:t>铜川市生态环境局</w:t>
      </w:r>
      <w:r>
        <w:rPr>
          <w:rFonts w:ascii="仿宋_GB2312" w:hAnsi="仿宋_GB2312" w:cs="仿宋_GB2312" w:eastAsia="仿宋_GB2312"/>
        </w:rPr>
        <w:t>委托，拟对</w:t>
      </w:r>
      <w:r>
        <w:rPr>
          <w:rFonts w:ascii="仿宋_GB2312" w:hAnsi="仿宋_GB2312" w:cs="仿宋_GB2312" w:eastAsia="仿宋_GB2312"/>
        </w:rPr>
        <w:t>铜川市山水林田湖草生态大数据管理平台2026年运维项目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YAZBTC-2026-001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铜川市山水林田湖草生态大数据管理平台2026年运维项目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提供对铜川市山水林田湖草生态大数据管理平台包含生态环境数据采集及数据库系统、生态环境数据分析系统、生态环境数据交换系统、生态环境门户发布系统、生态环境数据管理系统、手机端APP及其它支撑软件的驻场运维，总结归纳用户在使用系统过程中出现的问题，对系统和服务进行持续优化、改进。</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采购包1（铜川市山水林田湖草生态大数据管理平台2026年运维项目）：属于专门面向中小企业采购。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1、供应商是法人或其他 组织的应提供营业执 照等证明文件：供应商具有独立承担民事责任能力的法人、其他组织或自然人，并出具合法有效的营业执 照或事业单位法人证书等国家规定的相关证明，自然人参与的提供其身份证明；</w:t>
      </w:r>
    </w:p>
    <w:p>
      <w:pPr>
        <w:pStyle w:val="null3"/>
      </w:pPr>
      <w:r>
        <w:rPr>
          <w:rFonts w:ascii="仿宋_GB2312" w:hAnsi="仿宋_GB2312" w:cs="仿宋_GB2312" w:eastAsia="仿宋_GB2312"/>
        </w:rPr>
        <w:t>2、财务状况报告：供应商提供具有财务审计资质单位出具的2024年度财务报告或磋商前六个月内其基本账 户银行出具的资信证明或政府采购信用担保机构出具的磋商担保函；</w:t>
      </w:r>
    </w:p>
    <w:p>
      <w:pPr>
        <w:pStyle w:val="null3"/>
      </w:pPr>
      <w:r>
        <w:rPr>
          <w:rFonts w:ascii="仿宋_GB2312" w:hAnsi="仿宋_GB2312" w:cs="仿宋_GB2312" w:eastAsia="仿宋_GB2312"/>
        </w:rPr>
        <w:t>3、税收交纳证明：供应商提供截止至磋商时间前六个月内任意二个月的缴费凭据；（依法免税的供应商应提 供相关文件证明）；</w:t>
      </w:r>
    </w:p>
    <w:p>
      <w:pPr>
        <w:pStyle w:val="null3"/>
      </w:pPr>
      <w:r>
        <w:rPr>
          <w:rFonts w:ascii="仿宋_GB2312" w:hAnsi="仿宋_GB2312" w:cs="仿宋_GB2312" w:eastAsia="仿宋_GB2312"/>
        </w:rPr>
        <w:t>4、社会保障资金交纳证 明：供应商提供截止至磋商时间前六个月内任意二个月的社保缴费凭据或社保机构开具的社会 保险参保缴费情况证明；（依法不需要交纳社会保障资金的供应商应提供相关证明）；</w:t>
      </w:r>
    </w:p>
    <w:p>
      <w:pPr>
        <w:pStyle w:val="null3"/>
      </w:pPr>
      <w:r>
        <w:rPr>
          <w:rFonts w:ascii="仿宋_GB2312" w:hAnsi="仿宋_GB2312" w:cs="仿宋_GB2312" w:eastAsia="仿宋_GB2312"/>
        </w:rPr>
        <w:t>5、承诺、说明及书面声 明：1、提供具有履行本合同所必需的设备和专业技术能力的说明及承诺； 2、提供参加政府 采购活动前三年内在经营活动中没有重大违法记录的书面声明；</w:t>
      </w:r>
    </w:p>
    <w:p>
      <w:pPr>
        <w:pStyle w:val="null3"/>
      </w:pPr>
      <w:r>
        <w:rPr>
          <w:rFonts w:ascii="仿宋_GB2312" w:hAnsi="仿宋_GB2312" w:cs="仿宋_GB2312" w:eastAsia="仿宋_GB2312"/>
        </w:rPr>
        <w:t>6、法定代表人授权书/ 法定代表人身份证明：法定代表人参与磋商时需提供法定代表人身份证明；被授权人参与磋商时需提供法定 代 表人授权委托书；</w:t>
      </w:r>
    </w:p>
    <w:p>
      <w:pPr>
        <w:pStyle w:val="null3"/>
      </w:pPr>
      <w:r>
        <w:rPr>
          <w:rFonts w:ascii="仿宋_GB2312" w:hAnsi="仿宋_GB2312" w:cs="仿宋_GB2312" w:eastAsia="仿宋_GB2312"/>
        </w:rPr>
        <w:t>7、信用查询：供应商不得为“信用中国(www.creditchina.gov.cn)”中列入失信被执行人名单的供应商 ，不得为“中国政府采购网(www.ccgp.gov.cn)”政府采购严重违法失信行为记录名单中 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铜川市生态环境局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铜川市新区齐庆璐4号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邢方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0919-3185735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镱安项目管理有限公司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陕西省西安市新城区陕西省西安市新城区石家街127号东岸国际17层1702室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15209199909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采购包1：886,000.00元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 知(计价格〔2002〕 1980号）及《国家发展改革委办公厅关于招标代理服务收费有关问题的通知》（发改办 价格〔2003〕857 号）文件规定的标准收取。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铜川市生态环境局</w:t>
      </w:r>
      <w:r>
        <w:rPr>
          <w:rFonts w:ascii="仿宋_GB2312" w:hAnsi="仿宋_GB2312" w:cs="仿宋_GB2312" w:eastAsia="仿宋_GB2312"/>
        </w:rPr>
        <w:t>和</w:t>
      </w:r>
      <w:r>
        <w:rPr>
          <w:rFonts w:ascii="仿宋_GB2312" w:hAnsi="仿宋_GB2312" w:cs="仿宋_GB2312" w:eastAsia="仿宋_GB2312"/>
        </w:rPr>
        <w:t>镱安项目管理有限公司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铜川市生态环境局</w:t>
      </w:r>
      <w:r>
        <w:rPr>
          <w:rFonts w:ascii="仿宋_GB2312" w:hAnsi="仿宋_GB2312" w:cs="仿宋_GB2312" w:eastAsia="仿宋_GB2312"/>
        </w:rPr>
        <w:t>负责解释。除上述磋商文件内容，其他内容由</w:t>
      </w:r>
      <w:r>
        <w:rPr>
          <w:rFonts w:ascii="仿宋_GB2312" w:hAnsi="仿宋_GB2312" w:cs="仿宋_GB2312" w:eastAsia="仿宋_GB2312"/>
        </w:rPr>
        <w:t>镱安项目管理有限公司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铜川市生态环境局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镱安项目管理有限公司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双方签订合同时具体约定。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镱安项目管理有限公司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镱安项目管理有限公司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镱安项目管理有限公司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联系人：王涛</w:t>
      </w:r>
    </w:p>
    <w:p>
      <w:pPr>
        <w:pStyle w:val="null3"/>
      </w:pPr>
      <w:r>
        <w:rPr>
          <w:rFonts w:ascii="仿宋_GB2312" w:hAnsi="仿宋_GB2312" w:cs="仿宋_GB2312" w:eastAsia="仿宋_GB2312"/>
        </w:rPr>
        <w:t>联系电话：15209199909</w:t>
      </w:r>
    </w:p>
    <w:p>
      <w:pPr>
        <w:pStyle w:val="null3"/>
      </w:pPr>
      <w:r>
        <w:rPr>
          <w:rFonts w:ascii="仿宋_GB2312" w:hAnsi="仿宋_GB2312" w:cs="仿宋_GB2312" w:eastAsia="仿宋_GB2312"/>
        </w:rPr>
        <w:t>地址： 陕西省西安市新城区陕西省西安市新城区石家街127号东岸国际17层1702室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提供对铜川市山水林田湖草生态大数据管理平台包含生态环境数据采集及数据库系统、生态环境数据分析系统、生态环境数据交换系统、生态环境门户发布系统、生态环境数据管理系统、手机端APP及其它支撑软件的驻场运维，总结归纳用户在使用系统过程中出现的问题，对系统和服务进行持续优化、改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886,000.00</w:t>
      </w:r>
    </w:p>
    <w:p>
      <w:pPr>
        <w:pStyle w:val="null3"/>
      </w:pPr>
      <w:r>
        <w:rPr>
          <w:rFonts w:ascii="仿宋_GB2312" w:hAnsi="仿宋_GB2312" w:cs="仿宋_GB2312" w:eastAsia="仿宋_GB2312"/>
        </w:rPr>
        <w:t>采购包最高限价（元）: 886,000.00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铜川市山水林田湖草生态大数据管理平台2026年运维项目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标的名称：铜川市山水林田湖草生态大数据管理平台2026年运维项目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75"/>
              <w:ind w:left="195"/>
            </w:pPr>
            <w:r>
              <w:rPr>
                <w:rFonts w:ascii="仿宋_GB2312" w:hAnsi="仿宋_GB2312" w:cs="仿宋_GB2312" w:eastAsia="仿宋_GB2312"/>
                <w:sz w:val="32"/>
                <w:b/>
                <w:color w:val="000000"/>
              </w:rPr>
              <w:t>一、项目背景</w:t>
            </w:r>
          </w:p>
          <w:p>
            <w:pPr>
              <w:pStyle w:val="null3"/>
              <w:spacing w:before="135"/>
              <w:ind w:left="195" w:right="285" w:firstLine="445"/>
              <w:jc w:val="both"/>
            </w:pPr>
            <w:r>
              <w:rPr>
                <w:rFonts w:ascii="仿宋_GB2312" w:hAnsi="仿宋_GB2312" w:cs="仿宋_GB2312" w:eastAsia="仿宋_GB2312"/>
                <w:sz w:val="24"/>
                <w:color w:val="000000"/>
              </w:rPr>
              <w:t>铜川市山水林田湖草生态大数据管理平台依托铜川市黄</w:t>
            </w:r>
            <w:r>
              <w:rPr>
                <w:rFonts w:ascii="仿宋_GB2312" w:hAnsi="仿宋_GB2312" w:cs="仿宋_GB2312" w:eastAsia="仿宋_GB2312"/>
                <w:sz w:val="24"/>
                <w:color w:val="000000"/>
              </w:rPr>
              <w:t>土高原山水林田湖生态</w:t>
            </w:r>
            <w:r>
              <w:rPr>
                <w:rFonts w:ascii="仿宋_GB2312" w:hAnsi="仿宋_GB2312" w:cs="仿宋_GB2312" w:eastAsia="仿宋_GB2312"/>
                <w:sz w:val="24"/>
                <w:color w:val="000000"/>
              </w:rPr>
              <w:t>保护修复项目而建设，为保障和提高整个项目投入使用后的运</w:t>
            </w:r>
            <w:r>
              <w:rPr>
                <w:rFonts w:ascii="仿宋_GB2312" w:hAnsi="仿宋_GB2312" w:cs="仿宋_GB2312" w:eastAsia="仿宋_GB2312"/>
                <w:sz w:val="24"/>
                <w:color w:val="000000"/>
              </w:rPr>
              <w:t>行效果和服务质量，</w:t>
            </w:r>
            <w:r>
              <w:rPr>
                <w:rFonts w:ascii="仿宋_GB2312" w:hAnsi="仿宋_GB2312" w:cs="仿宋_GB2312" w:eastAsia="仿宋_GB2312"/>
                <w:sz w:val="24"/>
                <w:color w:val="000000"/>
              </w:rPr>
              <w:t>通过运行维护服务的有效管理来提升项目的服务效率，协调各</w:t>
            </w:r>
            <w:r>
              <w:rPr>
                <w:rFonts w:ascii="仿宋_GB2312" w:hAnsi="仿宋_GB2312" w:cs="仿宋_GB2312" w:eastAsia="仿宋_GB2312"/>
                <w:sz w:val="24"/>
                <w:color w:val="000000"/>
              </w:rPr>
              <w:t>业务应用系统的内部</w:t>
            </w:r>
            <w:r>
              <w:rPr>
                <w:rFonts w:ascii="仿宋_GB2312" w:hAnsi="仿宋_GB2312" w:cs="仿宋_GB2312" w:eastAsia="仿宋_GB2312"/>
                <w:sz w:val="24"/>
                <w:color w:val="000000"/>
              </w:rPr>
              <w:t>运作，提高服务质量，制定本项目运维服务采购要求，并需派</w:t>
            </w:r>
            <w:r>
              <w:rPr>
                <w:rFonts w:ascii="仿宋_GB2312" w:hAnsi="仿宋_GB2312" w:cs="仿宋_GB2312" w:eastAsia="仿宋_GB2312"/>
                <w:sz w:val="24"/>
                <w:color w:val="000000"/>
              </w:rPr>
              <w:t>驻工程师进行维护，</w:t>
            </w:r>
            <w:r>
              <w:rPr>
                <w:rFonts w:ascii="仿宋_GB2312" w:hAnsi="仿宋_GB2312" w:cs="仿宋_GB2312" w:eastAsia="仿宋_GB2312"/>
                <w:sz w:val="24"/>
                <w:color w:val="000000"/>
              </w:rPr>
              <w:t>在运维过程中遵循前瞻性原则，对问题做出预见性分析，并为</w:t>
            </w:r>
            <w:r>
              <w:rPr>
                <w:rFonts w:ascii="仿宋_GB2312" w:hAnsi="仿宋_GB2312" w:cs="仿宋_GB2312" w:eastAsia="仿宋_GB2312"/>
                <w:sz w:val="24"/>
                <w:color w:val="000000"/>
              </w:rPr>
              <w:t>用户的业务系统的发</w:t>
            </w:r>
            <w:r>
              <w:rPr>
                <w:rFonts w:ascii="仿宋_GB2312" w:hAnsi="仿宋_GB2312" w:cs="仿宋_GB2312" w:eastAsia="仿宋_GB2312"/>
                <w:sz w:val="24"/>
                <w:color w:val="000000"/>
              </w:rPr>
              <w:t>展和扩充提供建议。</w:t>
            </w:r>
          </w:p>
          <w:p>
            <w:pPr>
              <w:pStyle w:val="null3"/>
              <w:spacing w:before="75"/>
              <w:ind w:left="195"/>
            </w:pPr>
            <w:r>
              <w:rPr>
                <w:rFonts w:ascii="仿宋_GB2312" w:hAnsi="仿宋_GB2312" w:cs="仿宋_GB2312" w:eastAsia="仿宋_GB2312"/>
                <w:sz w:val="32"/>
                <w:b/>
                <w:color w:val="000000"/>
              </w:rPr>
              <w:t>二、采购内容</w:t>
            </w:r>
          </w:p>
          <w:p>
            <w:pPr>
              <w:pStyle w:val="null3"/>
              <w:spacing w:before="135"/>
              <w:ind w:left="195" w:right="285" w:firstLine="445"/>
              <w:jc w:val="both"/>
            </w:pPr>
            <w:r>
              <w:rPr>
                <w:rFonts w:ascii="仿宋_GB2312" w:hAnsi="仿宋_GB2312" w:cs="仿宋_GB2312" w:eastAsia="仿宋_GB2312"/>
                <w:sz w:val="24"/>
                <w:color w:val="000000"/>
              </w:rPr>
              <w:t>提供对铜川市山水林田湖草生态大数据管理平台包含生态环境数据采集及数据库系统、生态环境数据分析系统、生态环境数据交换系统、生态环境门户发布系统、生态环境数据管理系统、手机端</w:t>
            </w:r>
            <w:r>
              <w:rPr>
                <w:rFonts w:ascii="仿宋_GB2312" w:hAnsi="仿宋_GB2312" w:cs="仿宋_GB2312" w:eastAsia="仿宋_GB2312"/>
                <w:sz w:val="24"/>
                <w:color w:val="000000"/>
              </w:rPr>
              <w:t>APP及其它支撑软件的驻场运维，总结归纳用户在使用系统过程中出现的问题，对系统和服务进行持续优化、改进</w:t>
            </w:r>
            <w:r>
              <w:rPr>
                <w:rFonts w:ascii="仿宋_GB2312" w:hAnsi="仿宋_GB2312" w:cs="仿宋_GB2312" w:eastAsia="仿宋_GB2312"/>
                <w:sz w:val="28"/>
                <w:color w:val="000000"/>
              </w:rPr>
              <w:t>。</w:t>
            </w:r>
          </w:p>
          <w:p>
            <w:pPr>
              <w:pStyle w:val="null3"/>
              <w:spacing w:before="75"/>
              <w:ind w:left="195"/>
            </w:pPr>
            <w:r>
              <w:rPr>
                <w:rFonts w:ascii="仿宋_GB2312" w:hAnsi="仿宋_GB2312" w:cs="仿宋_GB2312" w:eastAsia="仿宋_GB2312"/>
                <w:sz w:val="32"/>
                <w:b/>
                <w:color w:val="000000"/>
              </w:rPr>
              <w:t>三、</w:t>
            </w:r>
            <w:r>
              <w:rPr>
                <w:rFonts w:ascii="仿宋_GB2312" w:hAnsi="仿宋_GB2312" w:cs="仿宋_GB2312" w:eastAsia="仿宋_GB2312"/>
                <w:sz w:val="32"/>
                <w:b/>
                <w:color w:val="000000"/>
              </w:rPr>
              <w:t>运维服务要求</w:t>
            </w:r>
          </w:p>
          <w:p>
            <w:pPr>
              <w:pStyle w:val="null3"/>
              <w:jc w:val="left"/>
            </w:pPr>
            <w:r>
              <w:rPr>
                <w:rFonts w:ascii="仿宋_GB2312" w:hAnsi="仿宋_GB2312" w:cs="仿宋_GB2312" w:eastAsia="仿宋_GB2312"/>
                <w:sz w:val="21"/>
                <w:color w:val="000000"/>
              </w:rPr>
              <w:t xml:space="preserve"> </w:t>
            </w:r>
          </w:p>
          <w:tbl>
            <w:tblPr>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255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4"/>
                      <w:color w:val="000000"/>
                    </w:rPr>
                    <w:t>铜川</w:t>
                  </w:r>
                  <w:r>
                    <w:rPr>
                      <w:rFonts w:ascii="仿宋_GB2312" w:hAnsi="仿宋_GB2312" w:cs="仿宋_GB2312" w:eastAsia="仿宋_GB2312"/>
                      <w:sz w:val="24"/>
                      <w:color w:val="000000"/>
                    </w:rPr>
                    <w:t>市山水林田湖草生态大数据管理平台</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生态</w:t>
                  </w:r>
                  <w:r>
                    <w:rPr>
                      <w:rFonts w:ascii="仿宋_GB2312" w:hAnsi="仿宋_GB2312" w:cs="仿宋_GB2312" w:eastAsia="仿宋_GB2312"/>
                      <w:sz w:val="24"/>
                      <w:color w:val="000000"/>
                    </w:rPr>
                    <w:t>环境数据采集及数据库系</w:t>
                  </w:r>
                </w:p>
              </w:tc>
              <w:tc>
                <w:tcPr>
                  <w:tcW w:type="dxa" w:w="127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提供日常运维服务、巡检服务、数据备份服务、应急响应服务、驻场服务、数据和应用集成服务、系统更新服务、监测数据更新服</w:t>
                  </w:r>
                  <w:r>
                    <w:rPr>
                      <w:rFonts w:ascii="仿宋_GB2312" w:hAnsi="仿宋_GB2312" w:cs="仿宋_GB2312" w:eastAsia="仿宋_GB2312"/>
                      <w:sz w:val="24"/>
                      <w:color w:val="000000"/>
                    </w:rPr>
                    <w:t>务。</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生态</w:t>
                  </w:r>
                  <w:r>
                    <w:rPr>
                      <w:rFonts w:ascii="仿宋_GB2312" w:hAnsi="仿宋_GB2312" w:cs="仿宋_GB2312" w:eastAsia="仿宋_GB2312"/>
                      <w:sz w:val="24"/>
                      <w:color w:val="000000"/>
                    </w:rPr>
                    <w:t>环境数据分析系统</w:t>
                  </w:r>
                </w:p>
              </w:tc>
              <w:tc>
                <w:tcPr>
                  <w:tcW w:type="dxa" w:w="1276"/>
                  <w:vMerge/>
                  <w:tcBorders>
                    <w:top w:val="single" w:color="000000" w:sz="4"/>
                    <w:left w:val="single" w:color="000000" w:sz="4"/>
                    <w:bottom w:val="single" w:color="000000" w:sz="4"/>
                    <w:right w:val="single" w:color="000000" w:sz="4"/>
                  </w:tcBorders>
                </w:tcP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生态</w:t>
                  </w:r>
                  <w:r>
                    <w:rPr>
                      <w:rFonts w:ascii="仿宋_GB2312" w:hAnsi="仿宋_GB2312" w:cs="仿宋_GB2312" w:eastAsia="仿宋_GB2312"/>
                      <w:sz w:val="24"/>
                      <w:color w:val="000000"/>
                    </w:rPr>
                    <w:t>环境数据交换系统</w:t>
                  </w:r>
                </w:p>
              </w:tc>
              <w:tc>
                <w:tcPr>
                  <w:tcW w:type="dxa" w:w="1276"/>
                  <w:vMerge/>
                  <w:tcBorders>
                    <w:top w:val="single" w:color="000000" w:sz="4"/>
                    <w:left w:val="single" w:color="000000" w:sz="4"/>
                    <w:bottom w:val="single" w:color="000000" w:sz="4"/>
                    <w:right w:val="single" w:color="000000" w:sz="4"/>
                  </w:tcBorders>
                </w:tcP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生态</w:t>
                  </w:r>
                  <w:r>
                    <w:rPr>
                      <w:rFonts w:ascii="仿宋_GB2312" w:hAnsi="仿宋_GB2312" w:cs="仿宋_GB2312" w:eastAsia="仿宋_GB2312"/>
                      <w:sz w:val="24"/>
                      <w:color w:val="000000"/>
                    </w:rPr>
                    <w:t>环境门户发布系统</w:t>
                  </w:r>
                </w:p>
              </w:tc>
              <w:tc>
                <w:tcPr>
                  <w:tcW w:type="dxa" w:w="1276"/>
                  <w:vMerge/>
                  <w:tcBorders>
                    <w:top w:val="single" w:color="000000" w:sz="4"/>
                    <w:left w:val="single" w:color="000000" w:sz="4"/>
                    <w:bottom w:val="single" w:color="000000" w:sz="4"/>
                    <w:right w:val="single" w:color="000000" w:sz="4"/>
                  </w:tcBorders>
                </w:tcP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生态</w:t>
                  </w:r>
                  <w:r>
                    <w:rPr>
                      <w:rFonts w:ascii="仿宋_GB2312" w:hAnsi="仿宋_GB2312" w:cs="仿宋_GB2312" w:eastAsia="仿宋_GB2312"/>
                      <w:sz w:val="24"/>
                      <w:color w:val="000000"/>
                    </w:rPr>
                    <w:t>环境数据管理系统</w:t>
                  </w:r>
                </w:p>
              </w:tc>
              <w:tc>
                <w:tcPr>
                  <w:tcW w:type="dxa" w:w="1276"/>
                  <w:vMerge/>
                  <w:tcBorders>
                    <w:top w:val="single" w:color="000000" w:sz="4"/>
                    <w:left w:val="single" w:color="000000" w:sz="4"/>
                    <w:bottom w:val="single" w:color="000000" w:sz="4"/>
                    <w:right w:val="single" w:color="000000" w:sz="4"/>
                  </w:tcBorders>
                </w:tcP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手机</w:t>
                  </w:r>
                  <w:r>
                    <w:rPr>
                      <w:rFonts w:ascii="仿宋_GB2312" w:hAnsi="仿宋_GB2312" w:cs="仿宋_GB2312" w:eastAsia="仿宋_GB2312"/>
                      <w:sz w:val="24"/>
                      <w:color w:val="000000"/>
                    </w:rPr>
                    <w:t>端</w:t>
                  </w:r>
                  <w:r>
                    <w:rPr>
                      <w:rFonts w:ascii="仿宋_GB2312" w:hAnsi="仿宋_GB2312" w:cs="仿宋_GB2312" w:eastAsia="仿宋_GB2312"/>
                      <w:sz w:val="24"/>
                      <w:color w:val="000000"/>
                    </w:rPr>
                    <w:t>app</w:t>
                  </w:r>
                </w:p>
              </w:tc>
              <w:tc>
                <w:tcPr>
                  <w:tcW w:type="dxa" w:w="1276"/>
                  <w:vMerge/>
                  <w:tcBorders>
                    <w:top w:val="single" w:color="000000" w:sz="4"/>
                    <w:left w:val="single" w:color="000000" w:sz="4"/>
                    <w:bottom w:val="single" w:color="000000" w:sz="4"/>
                    <w:right w:val="single" w:color="000000" w:sz="4"/>
                  </w:tcBorders>
                </w:tcP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其它</w:t>
                  </w:r>
                  <w:r>
                    <w:rPr>
                      <w:rFonts w:ascii="仿宋_GB2312" w:hAnsi="仿宋_GB2312" w:cs="仿宋_GB2312" w:eastAsia="仿宋_GB2312"/>
                      <w:sz w:val="24"/>
                      <w:color w:val="000000"/>
                    </w:rPr>
                    <w:t>支撑软件</w:t>
                  </w:r>
                </w:p>
              </w:tc>
              <w:tc>
                <w:tcPr>
                  <w:tcW w:type="dxa" w:w="1276"/>
                  <w:vMerge/>
                  <w:tcBorders>
                    <w:top w:val="single" w:color="000000" w:sz="4"/>
                    <w:left w:val="single" w:color="000000" w:sz="4"/>
                    <w:bottom w:val="single" w:color="000000" w:sz="4"/>
                    <w:right w:val="single" w:color="000000" w:sz="4"/>
                  </w:tcBorders>
                </w:tcPr>
                <w:p/>
              </w:tc>
            </w:tr>
          </w:tbl>
          <w:p>
            <w:pPr>
              <w:pStyle w:val="null3"/>
              <w:jc w:val="left"/>
            </w:pPr>
            <w:r>
              <w:rPr>
                <w:rFonts w:ascii="仿宋_GB2312" w:hAnsi="仿宋_GB2312" w:cs="仿宋_GB2312" w:eastAsia="仿宋_GB2312"/>
                <w:sz w:val="32"/>
                <w:b/>
                <w:color w:val="000000"/>
              </w:rPr>
              <w:t>四、运维服务方式</w:t>
            </w:r>
          </w:p>
          <w:p>
            <w:pPr>
              <w:pStyle w:val="null3"/>
              <w:spacing w:before="135"/>
              <w:ind w:left="195" w:right="285" w:firstLine="445"/>
              <w:jc w:val="both"/>
            </w:pPr>
            <w:r>
              <w:rPr>
                <w:rFonts w:ascii="仿宋_GB2312" w:hAnsi="仿宋_GB2312" w:cs="仿宋_GB2312" w:eastAsia="仿宋_GB2312"/>
                <w:sz w:val="24"/>
                <w:color w:val="000000"/>
              </w:rPr>
              <w:t>1、供应商需派遣专业的技术工程师提供5*8小时一年驻场运维服务，保持7*24小时电话畅通。</w:t>
            </w:r>
          </w:p>
          <w:p>
            <w:pPr>
              <w:pStyle w:val="null3"/>
              <w:spacing w:before="135"/>
              <w:ind w:left="195" w:right="285" w:firstLine="445"/>
              <w:jc w:val="both"/>
            </w:pPr>
            <w:r>
              <w:rPr>
                <w:rFonts w:ascii="仿宋_GB2312" w:hAnsi="仿宋_GB2312" w:cs="仿宋_GB2312" w:eastAsia="仿宋_GB2312"/>
                <w:sz w:val="24"/>
                <w:color w:val="000000"/>
              </w:rPr>
              <w:t>2、运维服务期内采取人员驻场和专家组相结合的运维服务形式，出现问题时，供应商运维技术人员在现场与采购人技术人员一起对故障进行分析，提出解决方案，在征得采购人同意后对故障进行处理和排除；</w:t>
            </w:r>
          </w:p>
          <w:p>
            <w:pPr>
              <w:pStyle w:val="null3"/>
              <w:spacing w:before="135"/>
              <w:ind w:left="195" w:right="285" w:firstLine="445"/>
              <w:jc w:val="both"/>
            </w:pPr>
            <w:r>
              <w:rPr>
                <w:rFonts w:ascii="仿宋_GB2312" w:hAnsi="仿宋_GB2312" w:cs="仿宋_GB2312" w:eastAsia="仿宋_GB2312"/>
                <w:sz w:val="24"/>
                <w:color w:val="000000"/>
              </w:rPr>
              <w:t>3、供应商应设立专家组，当驻场人员无法解决出现的问题时，技术专家须及时到场，提供必要的技术支持，协助驻场人员解决问题。</w:t>
            </w:r>
          </w:p>
          <w:p>
            <w:pPr>
              <w:pStyle w:val="null3"/>
              <w:spacing w:before="135"/>
              <w:ind w:left="195" w:right="285" w:firstLine="445"/>
              <w:jc w:val="both"/>
            </w:pPr>
            <w:r>
              <w:rPr>
                <w:rFonts w:ascii="仿宋_GB2312" w:hAnsi="仿宋_GB2312" w:cs="仿宋_GB2312" w:eastAsia="仿宋_GB2312"/>
                <w:sz w:val="24"/>
                <w:color w:val="000000"/>
              </w:rPr>
              <w:t>4、运维响应时间：运维服务期内，接到采购人的技术支持请求后，30分钟内作出实质性响应，2小时内到达现场（如电话响应无法解决），一般故障恢复小于等于2小时，重大故障恢复小于等于8小时。</w:t>
            </w:r>
          </w:p>
          <w:p>
            <w:pPr>
              <w:pStyle w:val="null3"/>
              <w:spacing w:before="75"/>
              <w:ind w:left="195"/>
            </w:pPr>
            <w:r>
              <w:rPr>
                <w:rFonts w:ascii="仿宋_GB2312" w:hAnsi="仿宋_GB2312" w:cs="仿宋_GB2312" w:eastAsia="仿宋_GB2312"/>
                <w:sz w:val="32"/>
                <w:b/>
                <w:color w:val="000000"/>
              </w:rPr>
              <w:t>四、服务范围和内容</w:t>
            </w:r>
          </w:p>
          <w:p>
            <w:pPr>
              <w:pStyle w:val="null3"/>
              <w:spacing w:before="135"/>
              <w:ind w:right="285" w:firstLine="512"/>
              <w:jc w:val="both"/>
            </w:pPr>
            <w:r>
              <w:rPr>
                <w:rFonts w:ascii="仿宋_GB2312" w:hAnsi="仿宋_GB2312" w:cs="仿宋_GB2312" w:eastAsia="仿宋_GB2312"/>
                <w:sz w:val="24"/>
                <w:color w:val="000000"/>
              </w:rPr>
              <w:t>1、每日工作内容：数据更新、巡检平台、巡检前端感知设备。</w:t>
            </w:r>
          </w:p>
          <w:p>
            <w:pPr>
              <w:pStyle w:val="null3"/>
              <w:spacing w:before="135"/>
              <w:ind w:right="285" w:firstLine="512"/>
              <w:jc w:val="both"/>
            </w:pPr>
            <w:r>
              <w:rPr>
                <w:rFonts w:ascii="仿宋_GB2312" w:hAnsi="仿宋_GB2312" w:cs="仿宋_GB2312" w:eastAsia="仿宋_GB2312"/>
                <w:sz w:val="24"/>
                <w:color w:val="000000"/>
              </w:rPr>
              <w:t>(1)每日固定更新aqi,优良天数、城市空气质量排名。</w:t>
            </w:r>
          </w:p>
          <w:p>
            <w:pPr>
              <w:pStyle w:val="null3"/>
              <w:spacing w:before="135"/>
              <w:ind w:right="285" w:firstLine="512"/>
              <w:jc w:val="both"/>
            </w:pPr>
            <w:r>
              <w:rPr>
                <w:rFonts w:ascii="仿宋_GB2312" w:hAnsi="仿宋_GB2312" w:cs="仿宋_GB2312" w:eastAsia="仿宋_GB2312"/>
                <w:sz w:val="24"/>
                <w:color w:val="000000"/>
              </w:rPr>
              <w:t>(2)巡检大数据平台系统打开状态、页面显示状态、各功能模块（首页、环境质量专题、污染源专题、环境监管、环境热点、大数据分析、业务监管、危废监管、数据资产、数据管理、系统设 置）状态、访问速度、数据获取状态。</w:t>
            </w:r>
          </w:p>
          <w:p>
            <w:pPr>
              <w:pStyle w:val="null3"/>
              <w:spacing w:before="135"/>
              <w:ind w:right="285" w:firstLine="512"/>
              <w:jc w:val="both"/>
            </w:pPr>
            <w:r>
              <w:rPr>
                <w:rFonts w:ascii="仿宋_GB2312" w:hAnsi="仿宋_GB2312" w:cs="仿宋_GB2312" w:eastAsia="仿宋_GB2312"/>
                <w:sz w:val="24"/>
                <w:color w:val="000000"/>
              </w:rPr>
              <w:t>(3)巡检大数据平台前端感知设备（</w:t>
            </w:r>
            <w:r>
              <w:rPr>
                <w:rFonts w:ascii="仿宋_GB2312" w:hAnsi="仿宋_GB2312" w:cs="仿宋_GB2312" w:eastAsia="仿宋_GB2312"/>
                <w:sz w:val="24"/>
                <w:color w:val="000000"/>
              </w:rPr>
              <w:t>环境空气交通站、区域噪声站、</w:t>
            </w:r>
            <w:r>
              <w:rPr>
                <w:rFonts w:ascii="仿宋_GB2312" w:hAnsi="仿宋_GB2312" w:cs="仿宋_GB2312" w:eastAsia="仿宋_GB2312"/>
                <w:sz w:val="24"/>
                <w:color w:val="000000"/>
              </w:rPr>
              <w:t>水质自动站、空气质量监测站、视频监控、在线监测、颗粒物在线监测、</w:t>
            </w:r>
            <w:r>
              <w:rPr>
                <w:rFonts w:ascii="仿宋_GB2312" w:hAnsi="仿宋_GB2312" w:cs="仿宋_GB2312" w:eastAsia="仿宋_GB2312"/>
                <w:sz w:val="24"/>
                <w:color w:val="000000"/>
              </w:rPr>
              <w:t>voc监测）。</w:t>
            </w:r>
          </w:p>
          <w:p>
            <w:pPr>
              <w:pStyle w:val="null3"/>
              <w:spacing w:before="135"/>
              <w:ind w:right="285" w:firstLine="512"/>
              <w:jc w:val="both"/>
            </w:pPr>
            <w:r>
              <w:rPr>
                <w:rFonts w:ascii="仿宋_GB2312" w:hAnsi="仿宋_GB2312" w:cs="仿宋_GB2312" w:eastAsia="仿宋_GB2312"/>
                <w:sz w:val="24"/>
                <w:color w:val="000000"/>
              </w:rPr>
              <w:t>(4)每日对大数据平台的重点监测数据进行核查比对。</w:t>
            </w:r>
          </w:p>
          <w:p>
            <w:pPr>
              <w:pStyle w:val="null3"/>
              <w:spacing w:before="135"/>
              <w:ind w:right="285" w:firstLine="512"/>
              <w:jc w:val="both"/>
            </w:pPr>
            <w:r>
              <w:rPr>
                <w:rFonts w:ascii="仿宋_GB2312" w:hAnsi="仿宋_GB2312" w:cs="仿宋_GB2312" w:eastAsia="仿宋_GB2312"/>
                <w:sz w:val="24"/>
                <w:color w:val="000000"/>
              </w:rPr>
              <w:t>2、每周工作内容：服务器状态巡查及杀毒、数据库备份；废水、废气数据比对  ；地表水、饮用水数据比对；为确保大数据管理平台系统环保监测数据的质量与准确性，定期赴现场配合查看前端环保监测设备的设备质量及安全性、核实监测数据的采样方法是否遵循相关的采样规范。</w:t>
            </w:r>
          </w:p>
          <w:p>
            <w:pPr>
              <w:pStyle w:val="null3"/>
              <w:spacing w:before="135"/>
              <w:ind w:right="285" w:firstLine="512"/>
              <w:jc w:val="both"/>
            </w:pPr>
            <w:r>
              <w:rPr>
                <w:rFonts w:ascii="仿宋_GB2312" w:hAnsi="仿宋_GB2312" w:cs="仿宋_GB2312" w:eastAsia="仿宋_GB2312"/>
                <w:sz w:val="24"/>
                <w:color w:val="000000"/>
              </w:rPr>
              <w:t>3、每月工作内容：更新地表水、饮用水、核与辐射、酸雨、降尘、排污许可证 、固废、移动执法、信访投诉、行政处罚、建设项目、应急数据、机动车尾气遥感。</w:t>
            </w:r>
          </w:p>
          <w:p>
            <w:pPr>
              <w:pStyle w:val="null3"/>
              <w:spacing w:before="135"/>
              <w:ind w:right="285" w:firstLine="512"/>
              <w:jc w:val="both"/>
            </w:pPr>
            <w:r>
              <w:rPr>
                <w:rFonts w:ascii="仿宋_GB2312" w:hAnsi="仿宋_GB2312" w:cs="仿宋_GB2312" w:eastAsia="仿宋_GB2312"/>
                <w:sz w:val="24"/>
                <w:color w:val="000000"/>
              </w:rPr>
              <w:t>4、周期其它工作：</w:t>
            </w:r>
          </w:p>
          <w:p>
            <w:pPr>
              <w:pStyle w:val="null3"/>
              <w:spacing w:before="135"/>
              <w:ind w:left="195" w:right="285" w:firstLine="445"/>
              <w:jc w:val="both"/>
            </w:pPr>
            <w:r>
              <w:rPr>
                <w:rFonts w:ascii="仿宋_GB2312" w:hAnsi="仿宋_GB2312" w:cs="仿宋_GB2312" w:eastAsia="仿宋_GB2312"/>
                <w:sz w:val="24"/>
                <w:color w:val="000000"/>
              </w:rPr>
              <w:t>(1)每年对铜川市山水林田湖草生态大数据管理平台进行信息安全等级保护测评。资料收集、填报、协调测评公司对平台进行漏扫和渗透测试并提供漏洞扫描和安全检测报告。</w:t>
            </w:r>
          </w:p>
          <w:p>
            <w:pPr>
              <w:pStyle w:val="null3"/>
              <w:spacing w:before="135"/>
              <w:ind w:left="195" w:right="285" w:firstLine="445"/>
              <w:jc w:val="both"/>
            </w:pPr>
            <w:r>
              <w:rPr>
                <w:rFonts w:ascii="仿宋_GB2312" w:hAnsi="仿宋_GB2312" w:cs="仿宋_GB2312" w:eastAsia="仿宋_GB2312"/>
                <w:sz w:val="24"/>
                <w:color w:val="000000"/>
              </w:rPr>
              <w:t>(2)与市局其它系统的协议对接、数据共享、协议开发等工作。</w:t>
            </w:r>
          </w:p>
          <w:p>
            <w:pPr>
              <w:pStyle w:val="null3"/>
              <w:spacing w:before="135"/>
              <w:ind w:right="285" w:firstLine="512"/>
              <w:jc w:val="both"/>
            </w:pPr>
            <w:r>
              <w:rPr>
                <w:rFonts w:ascii="仿宋_GB2312" w:hAnsi="仿宋_GB2312" w:cs="仿宋_GB2312" w:eastAsia="仿宋_GB2312"/>
                <w:sz w:val="24"/>
                <w:color w:val="000000"/>
              </w:rPr>
              <w:t>5、系统培训</w:t>
            </w:r>
          </w:p>
          <w:p>
            <w:pPr>
              <w:pStyle w:val="null3"/>
              <w:spacing w:before="135"/>
              <w:ind w:left="195" w:right="285" w:firstLine="445"/>
              <w:jc w:val="both"/>
            </w:pPr>
            <w:r>
              <w:rPr>
                <w:rFonts w:ascii="仿宋_GB2312" w:hAnsi="仿宋_GB2312" w:cs="仿宋_GB2312" w:eastAsia="仿宋_GB2312"/>
                <w:sz w:val="24"/>
                <w:color w:val="000000"/>
              </w:rPr>
              <w:t>为用户提供免费培训服务，以保障用户更顺畅的使用现软件系统。培训方式包含但不限于现场技术培训、视频会议培训、</w:t>
            </w:r>
            <w:r>
              <w:rPr>
                <w:rFonts w:ascii="仿宋_GB2312" w:hAnsi="仿宋_GB2312" w:cs="仿宋_GB2312" w:eastAsia="仿宋_GB2312"/>
                <w:sz w:val="24"/>
                <w:color w:val="000000"/>
              </w:rPr>
              <w:t>PPT 、操作手册等。</w:t>
            </w:r>
          </w:p>
          <w:p>
            <w:pPr>
              <w:pStyle w:val="null3"/>
              <w:spacing w:before="75"/>
              <w:ind w:left="195"/>
            </w:pPr>
            <w:r>
              <w:rPr>
                <w:rFonts w:ascii="仿宋_GB2312" w:hAnsi="仿宋_GB2312" w:cs="仿宋_GB2312" w:eastAsia="仿宋_GB2312"/>
                <w:sz w:val="32"/>
                <w:b/>
                <w:color w:val="000000"/>
              </w:rPr>
              <w:t>五、运维服务考核标准</w:t>
            </w:r>
          </w:p>
          <w:p>
            <w:pPr>
              <w:pStyle w:val="null3"/>
              <w:spacing w:before="135"/>
              <w:ind w:left="195" w:right="285" w:firstLine="445"/>
              <w:jc w:val="both"/>
            </w:pPr>
            <w:r>
              <w:rPr>
                <w:rFonts w:ascii="仿宋_GB2312" w:hAnsi="仿宋_GB2312" w:cs="仿宋_GB2312" w:eastAsia="仿宋_GB2312"/>
                <w:sz w:val="24"/>
                <w:color w:val="000000"/>
              </w:rPr>
              <w:t>一年运维期满后，由采购人对供应商进行季度考核，参考如下指标与评分标准</w:t>
            </w:r>
            <w:r>
              <w:rPr>
                <w:rFonts w:ascii="仿宋_GB2312" w:hAnsi="仿宋_GB2312" w:cs="仿宋_GB2312" w:eastAsia="仿宋_GB2312"/>
                <w:sz w:val="24"/>
                <w:color w:val="000000"/>
              </w:rPr>
              <w:t>，</w:t>
            </w:r>
            <w:r>
              <w:rPr>
                <w:rFonts w:ascii="仿宋_GB2312" w:hAnsi="仿宋_GB2312" w:cs="仿宋_GB2312" w:eastAsia="仿宋_GB2312"/>
                <w:sz w:val="24"/>
                <w:color w:val="000000"/>
              </w:rPr>
              <w:t>满分</w:t>
            </w:r>
            <w:r>
              <w:rPr>
                <w:rFonts w:ascii="仿宋_GB2312" w:hAnsi="仿宋_GB2312" w:cs="仿宋_GB2312" w:eastAsia="仿宋_GB2312"/>
                <w:sz w:val="24"/>
                <w:color w:val="000000"/>
              </w:rPr>
              <w:t>100分</w:t>
            </w:r>
            <w:r>
              <w:rPr>
                <w:rFonts w:ascii="仿宋_GB2312" w:hAnsi="仿宋_GB2312" w:cs="仿宋_GB2312" w:eastAsia="仿宋_GB2312"/>
                <w:sz w:val="24"/>
                <w:color w:val="000000"/>
              </w:rPr>
              <w:t>，</w:t>
            </w:r>
            <w:r>
              <w:rPr>
                <w:rFonts w:ascii="仿宋_GB2312" w:hAnsi="仿宋_GB2312" w:cs="仿宋_GB2312" w:eastAsia="仿宋_GB2312"/>
                <w:sz w:val="24"/>
                <w:color w:val="000000"/>
              </w:rPr>
              <w:t>考核结果为</w:t>
            </w:r>
            <w:r>
              <w:rPr>
                <w:rFonts w:ascii="仿宋_GB2312" w:hAnsi="仿宋_GB2312" w:cs="仿宋_GB2312" w:eastAsia="仿宋_GB2312"/>
                <w:sz w:val="24"/>
                <w:color w:val="000000"/>
              </w:rPr>
              <w:t>A级(90分-100分)，运维服务费按照当年应支付额的100%支付；考核结果为B级 (70分-89分)，运维服务费按照当年应支付额的85％支付；考核结果为C级 (50分-69分)，运维服务费按照当年应支付额的50％支付；考核结果为D级(0分-49分)，系统运维费不予支付，解除承包合同，并由运维服务商赔付相应损失。</w:t>
            </w:r>
          </w:p>
          <w:p>
            <w:pPr>
              <w:pStyle w:val="null3"/>
              <w:spacing w:before="45"/>
              <w:ind w:firstLine="1290"/>
              <w:jc w:val="left"/>
            </w:pPr>
            <w:r>
              <w:rPr>
                <w:rFonts w:ascii="仿宋_GB2312" w:hAnsi="仿宋_GB2312" w:cs="仿宋_GB2312" w:eastAsia="仿宋_GB2312"/>
                <w:sz w:val="24"/>
                <w:color w:val="000000"/>
              </w:rPr>
              <w:t>考</w:t>
            </w:r>
            <w:r>
              <w:rPr>
                <w:rFonts w:ascii="仿宋_GB2312" w:hAnsi="仿宋_GB2312" w:cs="仿宋_GB2312" w:eastAsia="仿宋_GB2312"/>
                <w:sz w:val="24"/>
                <w:color w:val="000000"/>
              </w:rPr>
              <w:t>核时间：</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考</w:t>
            </w:r>
            <w:r>
              <w:rPr>
                <w:rFonts w:ascii="仿宋_GB2312" w:hAnsi="仿宋_GB2312" w:cs="仿宋_GB2312" w:eastAsia="仿宋_GB2312"/>
                <w:sz w:val="24"/>
                <w:color w:val="000000"/>
              </w:rPr>
              <w:t>核分数：</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考</w:t>
            </w:r>
            <w:r>
              <w:rPr>
                <w:rFonts w:ascii="仿宋_GB2312" w:hAnsi="仿宋_GB2312" w:cs="仿宋_GB2312" w:eastAsia="仿宋_GB2312"/>
                <w:sz w:val="24"/>
                <w:color w:val="000000"/>
              </w:rPr>
              <w:t>核负责人：</w:t>
            </w:r>
          </w:p>
          <w:tbl>
            <w:tblPr>
              <w:tblBorders>
                <w:top w:val="none" w:color="000000" w:sz="4"/>
                <w:left w:val="none" w:color="000000" w:sz="4"/>
                <w:bottom w:val="none" w:color="000000" w:sz="4"/>
                <w:right w:val="none" w:color="000000" w:sz="4"/>
                <w:insideH w:val="none"/>
                <w:insideV w:val="none"/>
              </w:tblBorders>
            </w:tblPr>
            <w:tblGrid>
              <w:gridCol w:w="154"/>
              <w:gridCol w:w="979"/>
              <w:gridCol w:w="915"/>
              <w:gridCol w:w="244"/>
              <w:gridCol w:w="244"/>
            </w:tblGrid>
            <w:tr>
              <w:tc>
                <w:tcPr>
                  <w:tcW w:type="dxa" w:w="154"/>
                  <w:tcBorders>
                    <w:top w:val="single" w:color="000000" w:sz="4"/>
                    <w:left w:val="single" w:color="000000" w:sz="4"/>
                    <w:bottom w:val="single" w:color="000000" w:sz="4"/>
                    <w:right w:val="dotted" w:color="000000" w:sz="4"/>
                  </w:tcBorders>
                  <w:tcMar>
                    <w:top w:type="dxa" w:w="0"/>
                    <w:left w:type="dxa" w:w="0"/>
                    <w:bottom w:type="dxa" w:w="0"/>
                    <w:right w:type="dxa" w:w="0"/>
                  </w:tcMar>
                  <w:vAlign w:val="top"/>
                </w:tcPr>
                <w:p>
                  <w:pPr>
                    <w:pStyle w:val="null3"/>
                    <w:spacing w:before="270"/>
                    <w:ind w:left="30"/>
                    <w:jc w:val="left"/>
                  </w:pPr>
                  <w:r>
                    <w:rPr>
                      <w:rFonts w:ascii="仿宋_GB2312" w:hAnsi="仿宋_GB2312" w:cs="仿宋_GB2312" w:eastAsia="仿宋_GB2312"/>
                      <w:sz w:val="23"/>
                      <w:color w:val="000000"/>
                    </w:rPr>
                    <w:t>序</w:t>
                  </w:r>
                  <w:r>
                    <w:rPr>
                      <w:rFonts w:ascii="仿宋_GB2312" w:hAnsi="仿宋_GB2312" w:cs="仿宋_GB2312" w:eastAsia="仿宋_GB2312"/>
                      <w:sz w:val="23"/>
                      <w:color w:val="000000"/>
                    </w:rPr>
                    <w:t>号</w:t>
                  </w:r>
                </w:p>
              </w:tc>
              <w:tc>
                <w:tcPr>
                  <w:tcW w:type="dxa" w:w="979"/>
                  <w:tcBorders>
                    <w:top w:val="single" w:color="000000" w:sz="4"/>
                    <w:left w:val="dotted" w:color="000000" w:sz="4"/>
                    <w:bottom w:val="single" w:color="000000" w:sz="4"/>
                    <w:right w:val="dotted" w:color="000000" w:sz="4"/>
                  </w:tcBorders>
                  <w:tcMar>
                    <w:top w:type="dxa" w:w="0"/>
                    <w:left w:type="dxa" w:w="0"/>
                    <w:bottom w:type="dxa" w:w="0"/>
                    <w:right w:type="dxa" w:w="0"/>
                  </w:tcMar>
                  <w:vAlign w:val="top"/>
                </w:tcPr>
                <w:p>
                  <w:pPr>
                    <w:pStyle w:val="null3"/>
                    <w:spacing w:before="270"/>
                    <w:ind w:left="1335"/>
                    <w:jc w:val="left"/>
                  </w:pPr>
                  <w:r>
                    <w:rPr>
                      <w:rFonts w:ascii="仿宋_GB2312" w:hAnsi="仿宋_GB2312" w:cs="仿宋_GB2312" w:eastAsia="仿宋_GB2312"/>
                      <w:sz w:val="23"/>
                      <w:color w:val="000000"/>
                    </w:rPr>
                    <w:t>考</w:t>
                  </w:r>
                  <w:r>
                    <w:rPr>
                      <w:rFonts w:ascii="仿宋_GB2312" w:hAnsi="仿宋_GB2312" w:cs="仿宋_GB2312" w:eastAsia="仿宋_GB2312"/>
                      <w:sz w:val="23"/>
                      <w:color w:val="000000"/>
                    </w:rPr>
                    <w:t>核项目</w:t>
                  </w:r>
                </w:p>
              </w:tc>
              <w:tc>
                <w:tcPr>
                  <w:tcW w:type="dxa" w:w="915"/>
                  <w:tcBorders>
                    <w:top w:val="single" w:color="000000" w:sz="4"/>
                    <w:left w:val="dotted" w:color="000000" w:sz="4"/>
                    <w:bottom w:val="single" w:color="000000" w:sz="4"/>
                    <w:right w:val="dotted" w:color="000000" w:sz="4"/>
                  </w:tcBorders>
                  <w:tcMar>
                    <w:top w:type="dxa" w:w="0"/>
                    <w:left w:type="dxa" w:w="0"/>
                    <w:bottom w:type="dxa" w:w="0"/>
                    <w:right w:type="dxa" w:w="0"/>
                  </w:tcMar>
                  <w:vAlign w:val="top"/>
                </w:tcPr>
                <w:p>
                  <w:pPr>
                    <w:pStyle w:val="null3"/>
                    <w:spacing w:before="270"/>
                    <w:ind w:left="945"/>
                    <w:jc w:val="left"/>
                  </w:pPr>
                  <w:r>
                    <w:rPr>
                      <w:rFonts w:ascii="仿宋_GB2312" w:hAnsi="仿宋_GB2312" w:cs="仿宋_GB2312" w:eastAsia="仿宋_GB2312"/>
                      <w:sz w:val="23"/>
                      <w:color w:val="000000"/>
                    </w:rPr>
                    <w:t>考</w:t>
                  </w:r>
                  <w:r>
                    <w:rPr>
                      <w:rFonts w:ascii="仿宋_GB2312" w:hAnsi="仿宋_GB2312" w:cs="仿宋_GB2312" w:eastAsia="仿宋_GB2312"/>
                      <w:sz w:val="23"/>
                      <w:color w:val="000000"/>
                    </w:rPr>
                    <w:t>核标准</w:t>
                  </w:r>
                </w:p>
              </w:tc>
              <w:tc>
                <w:tcPr>
                  <w:tcW w:type="dxa" w:w="244"/>
                  <w:tcBorders>
                    <w:top w:val="single" w:color="000000" w:sz="4"/>
                    <w:left w:val="dotted" w:color="000000" w:sz="4"/>
                    <w:bottom w:val="single" w:color="000000" w:sz="4"/>
                    <w:right w:val="dotted" w:color="000000" w:sz="4"/>
                  </w:tcBorders>
                  <w:tcMar>
                    <w:top w:type="dxa" w:w="0"/>
                    <w:left w:type="dxa" w:w="0"/>
                    <w:bottom w:type="dxa" w:w="0"/>
                    <w:right w:type="dxa" w:w="0"/>
                  </w:tcMar>
                  <w:vAlign w:val="bottom"/>
                </w:tcPr>
                <w:p>
                  <w:pPr>
                    <w:pStyle w:val="null3"/>
                    <w:spacing w:before="60"/>
                    <w:ind w:left="105" w:right="105"/>
                    <w:jc w:val="both"/>
                  </w:pPr>
                  <w:r>
                    <w:rPr>
                      <w:rFonts w:ascii="仿宋_GB2312" w:hAnsi="仿宋_GB2312" w:cs="仿宋_GB2312" w:eastAsia="仿宋_GB2312"/>
                      <w:sz w:val="23"/>
                      <w:color w:val="000000"/>
                    </w:rPr>
                    <w:t>标</w:t>
                  </w:r>
                  <w:r>
                    <w:rPr>
                      <w:rFonts w:ascii="仿宋_GB2312" w:hAnsi="仿宋_GB2312" w:cs="仿宋_GB2312" w:eastAsia="仿宋_GB2312"/>
                      <w:sz w:val="23"/>
                      <w:color w:val="000000"/>
                    </w:rPr>
                    <w:t>准</w:t>
                  </w:r>
                  <w:r>
                    <w:rPr>
                      <w:rFonts w:ascii="仿宋_GB2312" w:hAnsi="仿宋_GB2312" w:cs="仿宋_GB2312" w:eastAsia="仿宋_GB2312"/>
                      <w:sz w:val="21"/>
                      <w:color w:val="000000"/>
                    </w:rPr>
                    <w:t xml:space="preserve"> </w:t>
                  </w:r>
                  <w:r>
                    <w:rPr>
                      <w:rFonts w:ascii="仿宋_GB2312" w:hAnsi="仿宋_GB2312" w:cs="仿宋_GB2312" w:eastAsia="仿宋_GB2312"/>
                      <w:sz w:val="23"/>
                      <w:color w:val="000000"/>
                    </w:rPr>
                    <w:t>得</w:t>
                  </w:r>
                  <w:r>
                    <w:rPr>
                      <w:rFonts w:ascii="仿宋_GB2312" w:hAnsi="仿宋_GB2312" w:cs="仿宋_GB2312" w:eastAsia="仿宋_GB2312"/>
                      <w:sz w:val="21"/>
                      <w:color w:val="000000"/>
                    </w:rPr>
                    <w:t xml:space="preserve"> </w:t>
                  </w:r>
                  <w:r>
                    <w:rPr>
                      <w:rFonts w:ascii="仿宋_GB2312" w:hAnsi="仿宋_GB2312" w:cs="仿宋_GB2312" w:eastAsia="仿宋_GB2312"/>
                      <w:sz w:val="23"/>
                      <w:color w:val="000000"/>
                    </w:rPr>
                    <w:t>分</w:t>
                  </w:r>
                </w:p>
              </w:tc>
              <w:tc>
                <w:tcPr>
                  <w:tcW w:type="dxa" w:w="244"/>
                  <w:tcBorders>
                    <w:top w:val="single" w:color="000000" w:sz="4"/>
                    <w:left w:val="dotted" w:color="000000" w:sz="4"/>
                    <w:bottom w:val="single" w:color="000000" w:sz="4"/>
                    <w:right w:val="dotted" w:color="000000" w:sz="4"/>
                  </w:tcBorders>
                  <w:tcMar>
                    <w:top w:type="dxa" w:w="0"/>
                    <w:left w:type="dxa" w:w="0"/>
                    <w:bottom w:type="dxa" w:w="0"/>
                    <w:right w:type="dxa" w:w="0"/>
                  </w:tcMar>
                  <w:vAlign w:val="bottom"/>
                </w:tcPr>
                <w:p>
                  <w:pPr>
                    <w:pStyle w:val="null3"/>
                    <w:spacing w:before="60"/>
                    <w:ind w:left="105" w:right="105"/>
                    <w:jc w:val="both"/>
                  </w:pPr>
                  <w:r>
                    <w:rPr>
                      <w:rFonts w:ascii="仿宋_GB2312" w:hAnsi="仿宋_GB2312" w:cs="仿宋_GB2312" w:eastAsia="仿宋_GB2312"/>
                      <w:sz w:val="23"/>
                      <w:color w:val="000000"/>
                    </w:rPr>
                    <w:t>考核</w:t>
                  </w:r>
                  <w:r>
                    <w:rPr>
                      <w:rFonts w:ascii="仿宋_GB2312" w:hAnsi="仿宋_GB2312" w:cs="仿宋_GB2312" w:eastAsia="仿宋_GB2312"/>
                      <w:sz w:val="21"/>
                      <w:color w:val="000000"/>
                    </w:rPr>
                    <w:t xml:space="preserve"> </w:t>
                  </w:r>
                  <w:r>
                    <w:rPr>
                      <w:rFonts w:ascii="仿宋_GB2312" w:hAnsi="仿宋_GB2312" w:cs="仿宋_GB2312" w:eastAsia="仿宋_GB2312"/>
                      <w:sz w:val="23"/>
                      <w:color w:val="000000"/>
                    </w:rPr>
                    <w:t>得</w:t>
                  </w:r>
                  <w:r>
                    <w:rPr>
                      <w:rFonts w:ascii="仿宋_GB2312" w:hAnsi="仿宋_GB2312" w:cs="仿宋_GB2312" w:eastAsia="仿宋_GB2312"/>
                      <w:sz w:val="21"/>
                      <w:color w:val="000000"/>
                    </w:rPr>
                    <w:t xml:space="preserve"> </w:t>
                  </w:r>
                  <w:r>
                    <w:rPr>
                      <w:rFonts w:ascii="仿宋_GB2312" w:hAnsi="仿宋_GB2312" w:cs="仿宋_GB2312" w:eastAsia="仿宋_GB2312"/>
                      <w:sz w:val="23"/>
                      <w:color w:val="000000"/>
                    </w:rPr>
                    <w:t>分</w:t>
                  </w:r>
                </w:p>
              </w:tc>
            </w:tr>
            <w:tr>
              <w:tc>
                <w:tcPr>
                  <w:tcW w:type="dxa" w:w="154"/>
                  <w:tcBorders>
                    <w:top w:val="none" w:color="000000" w:sz="4"/>
                    <w:left w:val="single" w:color="000000" w:sz="4"/>
                    <w:bottom w:val="dotted" w:color="000000" w:sz="4"/>
                    <w:right w:val="dotted" w:color="000000" w:sz="4"/>
                  </w:tcBorders>
                  <w:tcMar>
                    <w:top w:type="dxa" w:w="0"/>
                    <w:left w:type="dxa" w:w="0"/>
                    <w:bottom w:type="dxa" w:w="0"/>
                    <w:right w:type="dxa" w:w="0"/>
                  </w:tcMar>
                  <w:vAlign w:val="top"/>
                </w:tcPr>
                <w:p>
                  <w:pPr>
                    <w:pStyle w:val="null3"/>
                    <w:spacing w:before="90"/>
                    <w:ind w:left="150"/>
                    <w:jc w:val="left"/>
                  </w:pPr>
                  <w:r>
                    <w:rPr>
                      <w:rFonts w:ascii="仿宋_GB2312" w:hAnsi="仿宋_GB2312" w:cs="仿宋_GB2312" w:eastAsia="仿宋_GB2312"/>
                      <w:sz w:val="23"/>
                      <w:color w:val="000000"/>
                    </w:rPr>
                    <w:t>一</w:t>
                  </w:r>
                </w:p>
              </w:tc>
              <w:tc>
                <w:tcPr>
                  <w:tcW w:type="dxa" w:w="1894"/>
                  <w:gridSpan w:val="2"/>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spacing w:before="45"/>
                    <w:ind w:left="2745"/>
                    <w:jc w:val="left"/>
                  </w:pPr>
                  <w:r>
                    <w:rPr>
                      <w:rFonts w:ascii="仿宋_GB2312" w:hAnsi="仿宋_GB2312" w:cs="仿宋_GB2312" w:eastAsia="仿宋_GB2312"/>
                      <w:sz w:val="23"/>
                      <w:color w:val="000000"/>
                    </w:rPr>
                    <w:t>运</w:t>
                  </w:r>
                  <w:r>
                    <w:rPr>
                      <w:rFonts w:ascii="仿宋_GB2312" w:hAnsi="仿宋_GB2312" w:cs="仿宋_GB2312" w:eastAsia="仿宋_GB2312"/>
                      <w:sz w:val="23"/>
                      <w:color w:val="000000"/>
                    </w:rPr>
                    <w:t>行维护</w:t>
                  </w:r>
                </w:p>
              </w:tc>
              <w:tc>
                <w:tcPr>
                  <w:tcW w:type="dxa" w:w="244"/>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spacing w:before="75"/>
                    <w:ind w:left="240"/>
                    <w:jc w:val="left"/>
                  </w:pPr>
                  <w:r>
                    <w:rPr>
                      <w:rFonts w:ascii="仿宋_GB2312" w:hAnsi="仿宋_GB2312" w:cs="仿宋_GB2312" w:eastAsia="仿宋_GB2312"/>
                      <w:sz w:val="23"/>
                      <w:color w:val="000000"/>
                    </w:rPr>
                    <w:t>4</w:t>
                  </w:r>
                  <w:r>
                    <w:rPr>
                      <w:rFonts w:ascii="仿宋_GB2312" w:hAnsi="仿宋_GB2312" w:cs="仿宋_GB2312" w:eastAsia="仿宋_GB2312"/>
                      <w:sz w:val="23"/>
                      <w:color w:val="000000"/>
                    </w:rPr>
                    <w:t>0</w:t>
                  </w:r>
                </w:p>
              </w:tc>
              <w:tc>
                <w:tcPr>
                  <w:tcW w:type="dxa" w:w="244"/>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jc w:val="left"/>
                  </w:pPr>
                </w:p>
              </w:tc>
            </w:tr>
            <w:tr>
              <w:tc>
                <w:tcPr>
                  <w:tcW w:type="dxa" w:w="154"/>
                  <w:tcBorders>
                    <w:top w:val="none" w:color="000000" w:sz="4"/>
                    <w:left w:val="single" w:color="000000" w:sz="4"/>
                    <w:bottom w:val="dotted" w:color="000000" w:sz="4"/>
                    <w:right w:val="dotted"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3"/>
                      <w:color w:val="000000"/>
                    </w:rPr>
                    <w:t>1</w:t>
                  </w:r>
                </w:p>
              </w:tc>
              <w:tc>
                <w:tcPr>
                  <w:tcW w:type="dxa" w:w="979"/>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spacing w:before="45"/>
                    <w:ind w:right="15"/>
                    <w:jc w:val="both"/>
                  </w:pPr>
                  <w:r>
                    <w:rPr>
                      <w:rFonts w:ascii="仿宋_GB2312" w:hAnsi="仿宋_GB2312" w:cs="仿宋_GB2312" w:eastAsia="仿宋_GB2312"/>
                      <w:sz w:val="23"/>
                      <w:color w:val="000000"/>
                    </w:rPr>
                    <w:t>每</w:t>
                  </w:r>
                  <w:r>
                    <w:rPr>
                      <w:rFonts w:ascii="仿宋_GB2312" w:hAnsi="仿宋_GB2312" w:cs="仿宋_GB2312" w:eastAsia="仿宋_GB2312"/>
                      <w:sz w:val="23"/>
                      <w:color w:val="000000"/>
                    </w:rPr>
                    <w:t>日</w:t>
                  </w:r>
                  <w:r>
                    <w:rPr>
                      <w:rFonts w:ascii="仿宋_GB2312" w:hAnsi="仿宋_GB2312" w:cs="仿宋_GB2312" w:eastAsia="仿宋_GB2312"/>
                      <w:sz w:val="23"/>
                      <w:color w:val="000000"/>
                    </w:rPr>
                    <w:t>一次对关键</w:t>
                  </w:r>
                  <w:r>
                    <w:rPr>
                      <w:rFonts w:ascii="仿宋_GB2312" w:hAnsi="仿宋_GB2312" w:cs="仿宋_GB2312" w:eastAsia="仿宋_GB2312"/>
                      <w:sz w:val="23"/>
                      <w:color w:val="000000"/>
                    </w:rPr>
                    <w:t>信息化</w:t>
                  </w:r>
                  <w:r>
                    <w:rPr>
                      <w:rFonts w:ascii="仿宋_GB2312" w:hAnsi="仿宋_GB2312" w:cs="仿宋_GB2312" w:eastAsia="仿宋_GB2312"/>
                      <w:sz w:val="23"/>
                      <w:color w:val="000000"/>
                    </w:rPr>
                    <w:t>业务</w:t>
                  </w:r>
                  <w:r>
                    <w:rPr>
                      <w:rFonts w:ascii="仿宋_GB2312" w:hAnsi="仿宋_GB2312" w:cs="仿宋_GB2312" w:eastAsia="仿宋_GB2312"/>
                      <w:sz w:val="23"/>
                      <w:color w:val="000000"/>
                    </w:rPr>
                    <w:t>系统</w:t>
                  </w:r>
                  <w:r>
                    <w:rPr>
                      <w:rFonts w:ascii="仿宋_GB2312" w:hAnsi="仿宋_GB2312" w:cs="仿宋_GB2312" w:eastAsia="仿宋_GB2312"/>
                      <w:sz w:val="23"/>
                      <w:color w:val="000000"/>
                    </w:rPr>
                    <w:t>全面检查，保证</w:t>
                  </w:r>
                  <w:r>
                    <w:rPr>
                      <w:rFonts w:ascii="仿宋_GB2312" w:hAnsi="仿宋_GB2312" w:cs="仿宋_GB2312" w:eastAsia="仿宋_GB2312"/>
                      <w:sz w:val="23"/>
                      <w:color w:val="000000"/>
                    </w:rPr>
                    <w:t>系统的稳定</w:t>
                  </w:r>
                  <w:r>
                    <w:rPr>
                      <w:rFonts w:ascii="仿宋_GB2312" w:hAnsi="仿宋_GB2312" w:cs="仿宋_GB2312" w:eastAsia="仿宋_GB2312"/>
                      <w:sz w:val="23"/>
                      <w:color w:val="000000"/>
                    </w:rPr>
                    <w:t>性</w:t>
                  </w:r>
                  <w:r>
                    <w:rPr>
                      <w:rFonts w:ascii="仿宋_GB2312" w:hAnsi="仿宋_GB2312" w:cs="仿宋_GB2312" w:eastAsia="仿宋_GB2312"/>
                      <w:sz w:val="23"/>
                      <w:color w:val="000000"/>
                    </w:rPr>
                    <w:t>和有效性。</w:t>
                  </w:r>
                </w:p>
              </w:tc>
              <w:tc>
                <w:tcPr>
                  <w:tcW w:type="dxa" w:w="915"/>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spacing w:before="75"/>
                    <w:ind w:left="15" w:right="15" w:firstLine="3"/>
                    <w:jc w:val="both"/>
                  </w:pPr>
                  <w:r>
                    <w:rPr>
                      <w:rFonts w:ascii="仿宋_GB2312" w:hAnsi="仿宋_GB2312" w:cs="仿宋_GB2312" w:eastAsia="仿宋_GB2312"/>
                      <w:sz w:val="23"/>
                      <w:color w:val="000000"/>
                    </w:rPr>
                    <w:t>未</w:t>
                  </w:r>
                  <w:r>
                    <w:rPr>
                      <w:rFonts w:ascii="仿宋_GB2312" w:hAnsi="仿宋_GB2312" w:cs="仿宋_GB2312" w:eastAsia="仿宋_GB2312"/>
                      <w:sz w:val="23"/>
                      <w:color w:val="000000"/>
                    </w:rPr>
                    <w:t>按</w:t>
                  </w:r>
                  <w:r>
                    <w:rPr>
                      <w:rFonts w:ascii="仿宋_GB2312" w:hAnsi="仿宋_GB2312" w:cs="仿宋_GB2312" w:eastAsia="仿宋_GB2312"/>
                      <w:sz w:val="23"/>
                      <w:color w:val="000000"/>
                    </w:rPr>
                    <w:t>照要求进行</w:t>
                  </w:r>
                  <w:r>
                    <w:rPr>
                      <w:rFonts w:ascii="仿宋_GB2312" w:hAnsi="仿宋_GB2312" w:cs="仿宋_GB2312" w:eastAsia="仿宋_GB2312"/>
                      <w:sz w:val="23"/>
                      <w:color w:val="000000"/>
                    </w:rPr>
                    <w:t>检查</w:t>
                  </w:r>
                  <w:r>
                    <w:rPr>
                      <w:rFonts w:ascii="仿宋_GB2312" w:hAnsi="仿宋_GB2312" w:cs="仿宋_GB2312" w:eastAsia="仿宋_GB2312"/>
                      <w:sz w:val="23"/>
                      <w:color w:val="000000"/>
                    </w:rPr>
                    <w:t>、检测</w:t>
                  </w:r>
                  <w:r>
                    <w:rPr>
                      <w:rFonts w:ascii="仿宋_GB2312" w:hAnsi="仿宋_GB2312" w:cs="仿宋_GB2312" w:eastAsia="仿宋_GB2312"/>
                      <w:sz w:val="21"/>
                      <w:color w:val="000000"/>
                    </w:rPr>
                    <w:t xml:space="preserve"> </w:t>
                  </w:r>
                  <w:r>
                    <w:rPr>
                      <w:rFonts w:ascii="仿宋_GB2312" w:hAnsi="仿宋_GB2312" w:cs="仿宋_GB2312" w:eastAsia="仿宋_GB2312"/>
                      <w:sz w:val="23"/>
                      <w:color w:val="000000"/>
                    </w:rPr>
                    <w:t>和记录，扣</w:t>
                  </w:r>
                  <w:r>
                    <w:rPr>
                      <w:rFonts w:ascii="仿宋_GB2312" w:hAnsi="仿宋_GB2312" w:cs="仿宋_GB2312" w:eastAsia="仿宋_GB2312"/>
                      <w:sz w:val="23"/>
                      <w:color w:val="000000"/>
                    </w:rPr>
                    <w:t>6</w:t>
                  </w:r>
                  <w:r>
                    <w:rPr>
                      <w:rFonts w:ascii="仿宋_GB2312" w:hAnsi="仿宋_GB2312" w:cs="仿宋_GB2312" w:eastAsia="仿宋_GB2312"/>
                      <w:sz w:val="23"/>
                      <w:color w:val="000000"/>
                    </w:rPr>
                    <w:t>分；检测项目</w:t>
                  </w:r>
                  <w:r>
                    <w:rPr>
                      <w:rFonts w:ascii="仿宋_GB2312" w:hAnsi="仿宋_GB2312" w:cs="仿宋_GB2312" w:eastAsia="仿宋_GB2312"/>
                      <w:sz w:val="23"/>
                      <w:color w:val="000000"/>
                    </w:rPr>
                    <w:t>缺</w:t>
                  </w:r>
                  <w:r>
                    <w:rPr>
                      <w:rFonts w:ascii="仿宋_GB2312" w:hAnsi="仿宋_GB2312" w:cs="仿宋_GB2312" w:eastAsia="仿宋_GB2312"/>
                      <w:sz w:val="23"/>
                      <w:color w:val="000000"/>
                    </w:rPr>
                    <w:t>失每项扣</w:t>
                  </w:r>
                  <w:r>
                    <w:rPr>
                      <w:rFonts w:ascii="仿宋_GB2312" w:hAnsi="仿宋_GB2312" w:cs="仿宋_GB2312" w:eastAsia="仿宋_GB2312"/>
                      <w:sz w:val="23"/>
                      <w:color w:val="000000"/>
                    </w:rPr>
                    <w:t>2</w:t>
                  </w:r>
                  <w:r>
                    <w:rPr>
                      <w:rFonts w:ascii="仿宋_GB2312" w:hAnsi="仿宋_GB2312" w:cs="仿宋_GB2312" w:eastAsia="仿宋_GB2312"/>
                      <w:sz w:val="23"/>
                      <w:color w:val="000000"/>
                    </w:rPr>
                    <w:t>分。</w:t>
                  </w:r>
                </w:p>
              </w:tc>
              <w:tc>
                <w:tcPr>
                  <w:tcW w:type="dxa" w:w="244"/>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3"/>
                      <w:color w:val="000000"/>
                    </w:rPr>
                    <w:t>8</w:t>
                  </w:r>
                </w:p>
              </w:tc>
              <w:tc>
                <w:tcPr>
                  <w:tcW w:type="dxa" w:w="244"/>
                  <w:tcBorders>
                    <w:top w:val="dotted" w:color="000000" w:sz="4"/>
                    <w:left w:val="dotted" w:color="000000" w:sz="4"/>
                    <w:bottom w:val="dotted" w:color="000000" w:sz="4"/>
                    <w:right w:val="dotted" w:color="000000" w:sz="4"/>
                  </w:tcBorders>
                  <w:tcMar>
                    <w:top w:type="dxa" w:w="0"/>
                    <w:left w:type="dxa" w:w="0"/>
                    <w:bottom w:type="dxa" w:w="0"/>
                    <w:right w:type="dxa" w:w="0"/>
                  </w:tcMar>
                  <w:vAlign w:val="top"/>
                </w:tcPr>
                <w:p>
                  <w:pPr>
                    <w:pStyle w:val="null3"/>
                    <w:jc w:val="left"/>
                  </w:pPr>
                </w:p>
              </w:tc>
            </w:tr>
            <w:tr>
              <w:tc>
                <w:tcPr>
                  <w:tcW w:type="dxa" w:w="154"/>
                  <w:tcBorders>
                    <w:top w:val="none" w:color="000000" w:sz="4"/>
                    <w:left w:val="single" w:color="000000" w:sz="4"/>
                    <w:bottom w:val="dotted" w:color="000000" w:sz="4"/>
                    <w:right w:val="dotted"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3"/>
                      <w:color w:val="000000"/>
                    </w:rPr>
                    <w:t>2</w:t>
                  </w:r>
                </w:p>
              </w:tc>
              <w:tc>
                <w:tcPr>
                  <w:tcW w:type="dxa" w:w="979"/>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spacing w:before="45"/>
                    <w:ind w:left="15" w:right="15"/>
                    <w:jc w:val="both"/>
                  </w:pPr>
                  <w:r>
                    <w:rPr>
                      <w:rFonts w:ascii="仿宋_GB2312" w:hAnsi="仿宋_GB2312" w:cs="仿宋_GB2312" w:eastAsia="仿宋_GB2312"/>
                      <w:sz w:val="23"/>
                      <w:color w:val="000000"/>
                    </w:rPr>
                    <w:t>每日一次对业务系统前端感知设备的在线、数据采集、数据传输状况进行巡检，并联系相关责任人对未上线设备进行维修。</w:t>
                  </w:r>
                </w:p>
              </w:tc>
              <w:tc>
                <w:tcPr>
                  <w:tcW w:type="dxa" w:w="915"/>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spacing w:before="255"/>
                    <w:ind w:left="30" w:right="15"/>
                    <w:jc w:val="both"/>
                  </w:pPr>
                  <w:r>
                    <w:rPr>
                      <w:rFonts w:ascii="仿宋_GB2312" w:hAnsi="仿宋_GB2312" w:cs="仿宋_GB2312" w:eastAsia="仿宋_GB2312"/>
                      <w:sz w:val="23"/>
                      <w:color w:val="000000"/>
                    </w:rPr>
                    <w:t>未</w:t>
                  </w:r>
                  <w:r>
                    <w:rPr>
                      <w:rFonts w:ascii="仿宋_GB2312" w:hAnsi="仿宋_GB2312" w:cs="仿宋_GB2312" w:eastAsia="仿宋_GB2312"/>
                      <w:sz w:val="23"/>
                      <w:color w:val="000000"/>
                    </w:rPr>
                    <w:t>进</w:t>
                  </w:r>
                  <w:r>
                    <w:rPr>
                      <w:rFonts w:ascii="仿宋_GB2312" w:hAnsi="仿宋_GB2312" w:cs="仿宋_GB2312" w:eastAsia="仿宋_GB2312"/>
                      <w:sz w:val="23"/>
                      <w:color w:val="000000"/>
                    </w:rPr>
                    <w:t>行</w:t>
                  </w:r>
                  <w:r>
                    <w:rPr>
                      <w:rFonts w:ascii="仿宋_GB2312" w:hAnsi="仿宋_GB2312" w:cs="仿宋_GB2312" w:eastAsia="仿宋_GB2312"/>
                      <w:sz w:val="23"/>
                      <w:color w:val="000000"/>
                    </w:rPr>
                    <w:t>巡检</w:t>
                  </w:r>
                  <w:r>
                    <w:rPr>
                      <w:rFonts w:ascii="仿宋_GB2312" w:hAnsi="仿宋_GB2312" w:cs="仿宋_GB2312" w:eastAsia="仿宋_GB2312"/>
                      <w:sz w:val="23"/>
                      <w:color w:val="000000"/>
                    </w:rPr>
                    <w:t>扣</w:t>
                  </w:r>
                  <w:r>
                    <w:rPr>
                      <w:rFonts w:ascii="仿宋_GB2312" w:hAnsi="仿宋_GB2312" w:cs="仿宋_GB2312" w:eastAsia="仿宋_GB2312"/>
                      <w:sz w:val="23"/>
                      <w:color w:val="000000"/>
                    </w:rPr>
                    <w:t>3</w:t>
                  </w:r>
                  <w:r>
                    <w:rPr>
                      <w:rFonts w:ascii="仿宋_GB2312" w:hAnsi="仿宋_GB2312" w:cs="仿宋_GB2312" w:eastAsia="仿宋_GB2312"/>
                      <w:sz w:val="23"/>
                      <w:color w:val="000000"/>
                    </w:rPr>
                    <w:t>分；未</w:t>
                  </w:r>
                  <w:r>
                    <w:rPr>
                      <w:rFonts w:ascii="仿宋_GB2312" w:hAnsi="仿宋_GB2312" w:cs="仿宋_GB2312" w:eastAsia="仿宋_GB2312"/>
                      <w:sz w:val="23"/>
                      <w:color w:val="000000"/>
                    </w:rPr>
                    <w:t>联系责任人</w:t>
                  </w:r>
                  <w:r>
                    <w:rPr>
                      <w:rFonts w:ascii="仿宋_GB2312" w:hAnsi="仿宋_GB2312" w:cs="仿宋_GB2312" w:eastAsia="仿宋_GB2312"/>
                      <w:sz w:val="23"/>
                      <w:color w:val="000000"/>
                    </w:rPr>
                    <w:t>扣</w:t>
                  </w:r>
                  <w:r>
                    <w:rPr>
                      <w:rFonts w:ascii="仿宋_GB2312" w:hAnsi="仿宋_GB2312" w:cs="仿宋_GB2312" w:eastAsia="仿宋_GB2312"/>
                      <w:sz w:val="23"/>
                      <w:color w:val="000000"/>
                    </w:rPr>
                    <w:t>1分。</w:t>
                  </w:r>
                </w:p>
              </w:tc>
              <w:tc>
                <w:tcPr>
                  <w:tcW w:type="dxa" w:w="244"/>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3"/>
                      <w:color w:val="000000"/>
                    </w:rPr>
                    <w:t>4</w:t>
                  </w:r>
                </w:p>
              </w:tc>
              <w:tc>
                <w:tcPr>
                  <w:tcW w:type="dxa" w:w="244"/>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jc w:val="left"/>
                  </w:pPr>
                </w:p>
              </w:tc>
            </w:tr>
            <w:tr>
              <w:tc>
                <w:tcPr>
                  <w:tcW w:type="dxa" w:w="154"/>
                  <w:tcBorders>
                    <w:top w:val="none" w:color="000000" w:sz="4"/>
                    <w:left w:val="single" w:color="000000" w:sz="4"/>
                    <w:bottom w:val="dotted" w:color="000000" w:sz="4"/>
                    <w:right w:val="dotted"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3"/>
                      <w:color w:val="000000"/>
                    </w:rPr>
                    <w:t>3</w:t>
                  </w:r>
                </w:p>
              </w:tc>
              <w:tc>
                <w:tcPr>
                  <w:tcW w:type="dxa" w:w="979"/>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spacing w:before="45"/>
                    <w:ind w:left="15" w:right="15"/>
                    <w:jc w:val="both"/>
                  </w:pPr>
                  <w:r>
                    <w:rPr>
                      <w:rFonts w:ascii="仿宋_GB2312" w:hAnsi="仿宋_GB2312" w:cs="仿宋_GB2312" w:eastAsia="仿宋_GB2312"/>
                      <w:sz w:val="23"/>
                      <w:color w:val="000000"/>
                    </w:rPr>
                    <w:t>每日更新业务系统首页</w:t>
                  </w:r>
                  <w:r>
                    <w:rPr>
                      <w:rFonts w:ascii="仿宋_GB2312" w:hAnsi="仿宋_GB2312" w:cs="仿宋_GB2312" w:eastAsia="仿宋_GB2312"/>
                      <w:sz w:val="23"/>
                      <w:color w:val="000000"/>
                    </w:rPr>
                    <w:t>AQI、空气优良天数、城市空气质量排名数据。</w:t>
                  </w:r>
                </w:p>
              </w:tc>
              <w:tc>
                <w:tcPr>
                  <w:tcW w:type="dxa" w:w="915"/>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spacing w:before="75"/>
                    <w:ind w:left="15" w:right="15" w:firstLine="4"/>
                    <w:jc w:val="both"/>
                  </w:pPr>
                  <w:r>
                    <w:rPr>
                      <w:rFonts w:ascii="仿宋_GB2312" w:hAnsi="仿宋_GB2312" w:cs="仿宋_GB2312" w:eastAsia="仿宋_GB2312"/>
                      <w:sz w:val="23"/>
                      <w:color w:val="000000"/>
                    </w:rPr>
                    <w:t>未按照要求进行更新扣</w:t>
                  </w:r>
                  <w:r>
                    <w:rPr>
                      <w:rFonts w:ascii="仿宋_GB2312" w:hAnsi="仿宋_GB2312" w:cs="仿宋_GB2312" w:eastAsia="仿宋_GB2312"/>
                      <w:sz w:val="23"/>
                      <w:color w:val="000000"/>
                    </w:rPr>
                    <w:t>2分；</w:t>
                  </w:r>
                </w:p>
              </w:tc>
              <w:tc>
                <w:tcPr>
                  <w:tcW w:type="dxa" w:w="244"/>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spacing w:before="75"/>
                    <w:ind w:left="300"/>
                    <w:jc w:val="both"/>
                  </w:pPr>
                  <w:r>
                    <w:rPr>
                      <w:rFonts w:ascii="仿宋_GB2312" w:hAnsi="仿宋_GB2312" w:cs="仿宋_GB2312" w:eastAsia="仿宋_GB2312"/>
                      <w:sz w:val="23"/>
                      <w:color w:val="000000"/>
                    </w:rPr>
                    <w:t>5</w:t>
                  </w:r>
                </w:p>
              </w:tc>
              <w:tc>
                <w:tcPr>
                  <w:tcW w:type="dxa" w:w="244"/>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jc w:val="left"/>
                  </w:pPr>
                </w:p>
              </w:tc>
            </w:tr>
            <w:tr>
              <w:tc>
                <w:tcPr>
                  <w:tcW w:type="dxa" w:w="154"/>
                  <w:tcBorders>
                    <w:top w:val="none" w:color="000000" w:sz="4"/>
                    <w:left w:val="single" w:color="000000" w:sz="4"/>
                    <w:bottom w:val="dotted" w:color="000000" w:sz="4"/>
                    <w:right w:val="dotted"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3"/>
                      <w:color w:val="000000"/>
                    </w:rPr>
                    <w:t>4</w:t>
                  </w:r>
                </w:p>
              </w:tc>
              <w:tc>
                <w:tcPr>
                  <w:tcW w:type="dxa" w:w="979"/>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spacing w:before="45"/>
                    <w:ind w:left="15" w:right="15"/>
                    <w:jc w:val="both"/>
                  </w:pPr>
                  <w:r>
                    <w:rPr>
                      <w:rFonts w:ascii="仿宋_GB2312" w:hAnsi="仿宋_GB2312" w:cs="仿宋_GB2312" w:eastAsia="仿宋_GB2312"/>
                      <w:sz w:val="23"/>
                      <w:color w:val="000000"/>
                    </w:rPr>
                    <w:t>每</w:t>
                  </w:r>
                  <w:r>
                    <w:rPr>
                      <w:rFonts w:ascii="仿宋_GB2312" w:hAnsi="仿宋_GB2312" w:cs="仿宋_GB2312" w:eastAsia="仿宋_GB2312"/>
                      <w:sz w:val="23"/>
                      <w:color w:val="000000"/>
                    </w:rPr>
                    <w:t>周一次对云主机工作状态、定制</w:t>
                  </w:r>
                  <w:r>
                    <w:rPr>
                      <w:rFonts w:ascii="仿宋_GB2312" w:hAnsi="仿宋_GB2312" w:cs="仿宋_GB2312" w:eastAsia="仿宋_GB2312"/>
                      <w:sz w:val="23"/>
                      <w:color w:val="000000"/>
                    </w:rPr>
                    <w:t>化</w:t>
                  </w:r>
                  <w:r>
                    <w:rPr>
                      <w:rFonts w:ascii="仿宋_GB2312" w:hAnsi="仿宋_GB2312" w:cs="仿宋_GB2312" w:eastAsia="仿宋_GB2312"/>
                      <w:sz w:val="23"/>
                      <w:color w:val="000000"/>
                    </w:rPr>
                    <w:t>业务应用、接口数据传输、数据</w:t>
                  </w:r>
                  <w:r>
                    <w:rPr>
                      <w:rFonts w:ascii="仿宋_GB2312" w:hAnsi="仿宋_GB2312" w:cs="仿宋_GB2312" w:eastAsia="仿宋_GB2312"/>
                      <w:sz w:val="23"/>
                      <w:color w:val="000000"/>
                    </w:rPr>
                    <w:t>备</w:t>
                  </w:r>
                  <w:r>
                    <w:rPr>
                      <w:rFonts w:ascii="仿宋_GB2312" w:hAnsi="仿宋_GB2312" w:cs="仿宋_GB2312" w:eastAsia="仿宋_GB2312"/>
                      <w:sz w:val="23"/>
                      <w:color w:val="000000"/>
                    </w:rPr>
                    <w:t>份等进行巡检，查看并记录后端</w:t>
                  </w:r>
                  <w:r>
                    <w:rPr>
                      <w:rFonts w:ascii="仿宋_GB2312" w:hAnsi="仿宋_GB2312" w:cs="仿宋_GB2312" w:eastAsia="仿宋_GB2312"/>
                      <w:sz w:val="23"/>
                      <w:color w:val="000000"/>
                    </w:rPr>
                    <w:t>软</w:t>
                  </w:r>
                  <w:r>
                    <w:rPr>
                      <w:rFonts w:ascii="仿宋_GB2312" w:hAnsi="仿宋_GB2312" w:cs="仿宋_GB2312" w:eastAsia="仿宋_GB2312"/>
                      <w:sz w:val="23"/>
                      <w:color w:val="000000"/>
                    </w:rPr>
                    <w:t>硬件运行状况及告警信息；实时</w:t>
                  </w:r>
                  <w:r>
                    <w:rPr>
                      <w:rFonts w:ascii="仿宋_GB2312" w:hAnsi="仿宋_GB2312" w:cs="仿宋_GB2312" w:eastAsia="仿宋_GB2312"/>
                      <w:sz w:val="23"/>
                      <w:color w:val="000000"/>
                    </w:rPr>
                    <w:t>监</w:t>
                  </w:r>
                  <w:r>
                    <w:rPr>
                      <w:rFonts w:ascii="仿宋_GB2312" w:hAnsi="仿宋_GB2312" w:cs="仿宋_GB2312" w:eastAsia="仿宋_GB2312"/>
                      <w:sz w:val="23"/>
                      <w:color w:val="000000"/>
                    </w:rPr>
                    <w:t>控运行状况，监控内容包括运行</w:t>
                  </w:r>
                  <w:r>
                    <w:rPr>
                      <w:rFonts w:ascii="仿宋_GB2312" w:hAnsi="仿宋_GB2312" w:cs="仿宋_GB2312" w:eastAsia="仿宋_GB2312"/>
                      <w:sz w:val="23"/>
                      <w:color w:val="000000"/>
                    </w:rPr>
                    <w:t>状</w:t>
                  </w:r>
                  <w:r>
                    <w:rPr>
                      <w:rFonts w:ascii="仿宋_GB2312" w:hAnsi="仿宋_GB2312" w:cs="仿宋_GB2312" w:eastAsia="仿宋_GB2312"/>
                      <w:sz w:val="23"/>
                      <w:color w:val="000000"/>
                    </w:rPr>
                    <w:t>态、</w:t>
                  </w:r>
                  <w:r>
                    <w:rPr>
                      <w:rFonts w:ascii="仿宋_GB2312" w:hAnsi="仿宋_GB2312" w:cs="仿宋_GB2312" w:eastAsia="仿宋_GB2312"/>
                      <w:sz w:val="23"/>
                      <w:color w:val="000000"/>
                    </w:rPr>
                    <w:t>cpu</w:t>
                  </w:r>
                  <w:r>
                    <w:rPr>
                      <w:rFonts w:ascii="仿宋_GB2312" w:hAnsi="仿宋_GB2312" w:cs="仿宋_GB2312" w:eastAsia="仿宋_GB2312"/>
                      <w:sz w:val="23"/>
                      <w:color w:val="000000"/>
                    </w:rPr>
                    <w:t>、内存占用率等。</w:t>
                  </w:r>
                </w:p>
              </w:tc>
              <w:tc>
                <w:tcPr>
                  <w:tcW w:type="dxa" w:w="915"/>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3"/>
                      <w:color w:val="000000"/>
                    </w:rPr>
                    <w:t>未</w:t>
                  </w:r>
                  <w:r>
                    <w:rPr>
                      <w:rFonts w:ascii="仿宋_GB2312" w:hAnsi="仿宋_GB2312" w:cs="仿宋_GB2312" w:eastAsia="仿宋_GB2312"/>
                      <w:sz w:val="23"/>
                      <w:color w:val="000000"/>
                    </w:rPr>
                    <w:t>按照要求进行巡检、监</w:t>
                  </w:r>
                  <w:r>
                    <w:rPr>
                      <w:rFonts w:ascii="仿宋_GB2312" w:hAnsi="仿宋_GB2312" w:cs="仿宋_GB2312" w:eastAsia="仿宋_GB2312"/>
                      <w:sz w:val="23"/>
                      <w:color w:val="000000"/>
                    </w:rPr>
                    <w:t>控，扣</w:t>
                  </w:r>
                  <w:r>
                    <w:rPr>
                      <w:rFonts w:ascii="仿宋_GB2312" w:hAnsi="仿宋_GB2312" w:cs="仿宋_GB2312" w:eastAsia="仿宋_GB2312"/>
                      <w:sz w:val="23"/>
                      <w:color w:val="000000"/>
                    </w:rPr>
                    <w:t>4分；巡检项目缺</w:t>
                  </w:r>
                  <w:r>
                    <w:rPr>
                      <w:rFonts w:ascii="仿宋_GB2312" w:hAnsi="仿宋_GB2312" w:cs="仿宋_GB2312" w:eastAsia="仿宋_GB2312"/>
                      <w:sz w:val="23"/>
                      <w:color w:val="000000"/>
                    </w:rPr>
                    <w:t>失</w:t>
                  </w:r>
                  <w:r>
                    <w:rPr>
                      <w:rFonts w:ascii="仿宋_GB2312" w:hAnsi="仿宋_GB2312" w:cs="仿宋_GB2312" w:eastAsia="仿宋_GB2312"/>
                      <w:sz w:val="23"/>
                      <w:color w:val="000000"/>
                    </w:rPr>
                    <w:t>每</w:t>
                  </w:r>
                  <w:r>
                    <w:rPr>
                      <w:rFonts w:ascii="仿宋_GB2312" w:hAnsi="仿宋_GB2312" w:cs="仿宋_GB2312" w:eastAsia="仿宋_GB2312"/>
                      <w:sz w:val="23"/>
                      <w:color w:val="000000"/>
                    </w:rPr>
                    <w:t>项扣</w:t>
                  </w:r>
                  <w:r>
                    <w:rPr>
                      <w:rFonts w:ascii="仿宋_GB2312" w:hAnsi="仿宋_GB2312" w:cs="仿宋_GB2312" w:eastAsia="仿宋_GB2312"/>
                      <w:sz w:val="23"/>
                      <w:color w:val="000000"/>
                    </w:rPr>
                    <w:t>1 分。</w:t>
                  </w:r>
                </w:p>
              </w:tc>
              <w:tc>
                <w:tcPr>
                  <w:tcW w:type="dxa" w:w="244"/>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3"/>
                      <w:color w:val="000000"/>
                    </w:rPr>
                    <w:t>5</w:t>
                  </w:r>
                </w:p>
              </w:tc>
              <w:tc>
                <w:tcPr>
                  <w:tcW w:type="dxa" w:w="244"/>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jc w:val="left"/>
                  </w:pPr>
                </w:p>
              </w:tc>
            </w:tr>
            <w:tr>
              <w:tc>
                <w:tcPr>
                  <w:tcW w:type="dxa" w:w="154"/>
                  <w:tcBorders>
                    <w:top w:val="none" w:color="000000" w:sz="4"/>
                    <w:left w:val="single" w:color="000000" w:sz="4"/>
                    <w:bottom w:val="dotted" w:color="000000" w:sz="4"/>
                    <w:right w:val="dotted"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3"/>
                      <w:color w:val="000000"/>
                    </w:rPr>
                    <w:t>5</w:t>
                  </w:r>
                </w:p>
              </w:tc>
              <w:tc>
                <w:tcPr>
                  <w:tcW w:type="dxa" w:w="979"/>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ind w:left="15"/>
                    <w:jc w:val="both"/>
                  </w:pPr>
                  <w:r>
                    <w:rPr>
                      <w:rFonts w:ascii="仿宋_GB2312" w:hAnsi="仿宋_GB2312" w:cs="仿宋_GB2312" w:eastAsia="仿宋_GB2312"/>
                      <w:sz w:val="23"/>
                      <w:color w:val="000000"/>
                    </w:rPr>
                    <w:t>每</w:t>
                  </w:r>
                  <w:r>
                    <w:rPr>
                      <w:rFonts w:ascii="仿宋_GB2312" w:hAnsi="仿宋_GB2312" w:cs="仿宋_GB2312" w:eastAsia="仿宋_GB2312"/>
                      <w:sz w:val="23"/>
                      <w:color w:val="000000"/>
                    </w:rPr>
                    <w:t>周一次对云主机</w:t>
                  </w:r>
                  <w:r>
                    <w:rPr>
                      <w:rFonts w:ascii="仿宋_GB2312" w:hAnsi="仿宋_GB2312" w:cs="仿宋_GB2312" w:eastAsia="仿宋_GB2312"/>
                      <w:sz w:val="23"/>
                      <w:color w:val="000000"/>
                    </w:rPr>
                    <w:t>杀毒软件进行病毒库升级、查杀云主机是否有病毒。</w:t>
                  </w:r>
                </w:p>
              </w:tc>
              <w:tc>
                <w:tcPr>
                  <w:tcW w:type="dxa" w:w="915"/>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spacing w:before="60"/>
                    <w:ind w:left="15" w:right="15" w:firstLine="4"/>
                    <w:jc w:val="both"/>
                  </w:pPr>
                  <w:r>
                    <w:rPr>
                      <w:rFonts w:ascii="仿宋_GB2312" w:hAnsi="仿宋_GB2312" w:cs="仿宋_GB2312" w:eastAsia="仿宋_GB2312"/>
                      <w:sz w:val="23"/>
                      <w:color w:val="000000"/>
                    </w:rPr>
                    <w:t>未</w:t>
                  </w:r>
                  <w:r>
                    <w:rPr>
                      <w:rFonts w:ascii="仿宋_GB2312" w:hAnsi="仿宋_GB2312" w:cs="仿宋_GB2312" w:eastAsia="仿宋_GB2312"/>
                      <w:sz w:val="23"/>
                      <w:color w:val="000000"/>
                    </w:rPr>
                    <w:t>按</w:t>
                  </w:r>
                  <w:r>
                    <w:rPr>
                      <w:rFonts w:ascii="仿宋_GB2312" w:hAnsi="仿宋_GB2312" w:cs="仿宋_GB2312" w:eastAsia="仿宋_GB2312"/>
                      <w:sz w:val="23"/>
                      <w:color w:val="000000"/>
                    </w:rPr>
                    <w:t>要求进行</w:t>
                  </w:r>
                  <w:r>
                    <w:rPr>
                      <w:rFonts w:ascii="仿宋_GB2312" w:hAnsi="仿宋_GB2312" w:cs="仿宋_GB2312" w:eastAsia="仿宋_GB2312"/>
                      <w:sz w:val="23"/>
                      <w:color w:val="000000"/>
                    </w:rPr>
                    <w:t>查杀</w:t>
                  </w:r>
                  <w:r>
                    <w:rPr>
                      <w:rFonts w:ascii="仿宋_GB2312" w:hAnsi="仿宋_GB2312" w:cs="仿宋_GB2312" w:eastAsia="仿宋_GB2312"/>
                      <w:sz w:val="23"/>
                      <w:color w:val="000000"/>
                    </w:rPr>
                    <w:t>，扣</w:t>
                  </w:r>
                  <w:r>
                    <w:rPr>
                      <w:rFonts w:ascii="仿宋_GB2312" w:hAnsi="仿宋_GB2312" w:cs="仿宋_GB2312" w:eastAsia="仿宋_GB2312"/>
                      <w:sz w:val="23"/>
                      <w:color w:val="000000"/>
                    </w:rPr>
                    <w:t>4分</w:t>
                  </w:r>
                  <w:r>
                    <w:rPr>
                      <w:rFonts w:ascii="仿宋_GB2312" w:hAnsi="仿宋_GB2312" w:cs="仿宋_GB2312" w:eastAsia="仿宋_GB2312"/>
                      <w:sz w:val="23"/>
                      <w:color w:val="000000"/>
                    </w:rPr>
                    <w:t>；</w:t>
                  </w:r>
                  <w:r>
                    <w:rPr>
                      <w:rFonts w:ascii="仿宋_GB2312" w:hAnsi="仿宋_GB2312" w:cs="仿宋_GB2312" w:eastAsia="仿宋_GB2312"/>
                      <w:sz w:val="23"/>
                      <w:color w:val="000000"/>
                    </w:rPr>
                    <w:t>未升级病毒库，扣</w:t>
                  </w:r>
                  <w:r>
                    <w:rPr>
                      <w:rFonts w:ascii="仿宋_GB2312" w:hAnsi="仿宋_GB2312" w:cs="仿宋_GB2312" w:eastAsia="仿宋_GB2312"/>
                      <w:sz w:val="23"/>
                      <w:color w:val="000000"/>
                    </w:rPr>
                    <w:t>1</w:t>
                  </w:r>
                  <w:r>
                    <w:rPr>
                      <w:rFonts w:ascii="仿宋_GB2312" w:hAnsi="仿宋_GB2312" w:cs="仿宋_GB2312" w:eastAsia="仿宋_GB2312"/>
                      <w:sz w:val="23"/>
                      <w:color w:val="000000"/>
                    </w:rPr>
                    <w:t>分。</w:t>
                  </w:r>
                </w:p>
              </w:tc>
              <w:tc>
                <w:tcPr>
                  <w:tcW w:type="dxa" w:w="244"/>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spacing w:before="75"/>
                    <w:ind w:left="300"/>
                    <w:jc w:val="both"/>
                  </w:pPr>
                  <w:r>
                    <w:rPr>
                      <w:rFonts w:ascii="仿宋_GB2312" w:hAnsi="仿宋_GB2312" w:cs="仿宋_GB2312" w:eastAsia="仿宋_GB2312"/>
                      <w:sz w:val="23"/>
                      <w:color w:val="000000"/>
                    </w:rPr>
                    <w:t>5</w:t>
                  </w:r>
                </w:p>
              </w:tc>
              <w:tc>
                <w:tcPr>
                  <w:tcW w:type="dxa" w:w="244"/>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jc w:val="left"/>
                  </w:pPr>
                </w:p>
              </w:tc>
            </w:tr>
            <w:tr>
              <w:tc>
                <w:tcPr>
                  <w:tcW w:type="dxa" w:w="154"/>
                  <w:tcBorders>
                    <w:top w:val="none" w:color="000000" w:sz="4"/>
                    <w:left w:val="single" w:color="000000" w:sz="4"/>
                    <w:bottom w:val="dotted" w:color="000000" w:sz="4"/>
                    <w:right w:val="dotted"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3"/>
                      <w:color w:val="000000"/>
                    </w:rPr>
                    <w:t>6</w:t>
                  </w:r>
                </w:p>
              </w:tc>
              <w:tc>
                <w:tcPr>
                  <w:tcW w:type="dxa" w:w="979"/>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spacing w:before="60"/>
                    <w:ind w:left="15" w:right="15"/>
                    <w:jc w:val="both"/>
                  </w:pPr>
                  <w:r>
                    <w:rPr>
                      <w:rFonts w:ascii="仿宋_GB2312" w:hAnsi="仿宋_GB2312" w:cs="仿宋_GB2312" w:eastAsia="仿宋_GB2312"/>
                      <w:sz w:val="23"/>
                      <w:color w:val="000000"/>
                    </w:rPr>
                    <w:t>根</w:t>
                  </w:r>
                  <w:r>
                    <w:rPr>
                      <w:rFonts w:ascii="仿宋_GB2312" w:hAnsi="仿宋_GB2312" w:cs="仿宋_GB2312" w:eastAsia="仿宋_GB2312"/>
                      <w:sz w:val="23"/>
                      <w:color w:val="000000"/>
                    </w:rPr>
                    <w:t>据需要及时</w:t>
                  </w:r>
                  <w:r>
                    <w:rPr>
                      <w:rFonts w:ascii="仿宋_GB2312" w:hAnsi="仿宋_GB2312" w:cs="仿宋_GB2312" w:eastAsia="仿宋_GB2312"/>
                      <w:sz w:val="23"/>
                      <w:color w:val="000000"/>
                    </w:rPr>
                    <w:t>备份业务系统数据库</w:t>
                  </w:r>
                  <w:r>
                    <w:rPr>
                      <w:rFonts w:ascii="仿宋_GB2312" w:hAnsi="仿宋_GB2312" w:cs="仿宋_GB2312" w:eastAsia="仿宋_GB2312"/>
                      <w:sz w:val="23"/>
                      <w:color w:val="000000"/>
                    </w:rPr>
                    <w:t>。</w:t>
                  </w:r>
                </w:p>
              </w:tc>
              <w:tc>
                <w:tcPr>
                  <w:tcW w:type="dxa" w:w="915"/>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ind w:left="30"/>
                    <w:jc w:val="both"/>
                  </w:pPr>
                  <w:r>
                    <w:rPr>
                      <w:rFonts w:ascii="仿宋_GB2312" w:hAnsi="仿宋_GB2312" w:cs="仿宋_GB2312" w:eastAsia="仿宋_GB2312"/>
                      <w:sz w:val="23"/>
                      <w:color w:val="000000"/>
                    </w:rPr>
                    <w:t>未</w:t>
                  </w:r>
                  <w:r>
                    <w:rPr>
                      <w:rFonts w:ascii="仿宋_GB2312" w:hAnsi="仿宋_GB2312" w:cs="仿宋_GB2312" w:eastAsia="仿宋_GB2312"/>
                      <w:sz w:val="23"/>
                      <w:color w:val="000000"/>
                    </w:rPr>
                    <w:t>按要求进行</w:t>
                  </w:r>
                  <w:r>
                    <w:rPr>
                      <w:rFonts w:ascii="仿宋_GB2312" w:hAnsi="仿宋_GB2312" w:cs="仿宋_GB2312" w:eastAsia="仿宋_GB2312"/>
                      <w:sz w:val="23"/>
                      <w:color w:val="000000"/>
                    </w:rPr>
                    <w:t>备份，扣</w:t>
                  </w:r>
                  <w:r>
                    <w:rPr>
                      <w:rFonts w:ascii="仿宋_GB2312" w:hAnsi="仿宋_GB2312" w:cs="仿宋_GB2312" w:eastAsia="仿宋_GB2312"/>
                      <w:sz w:val="23"/>
                      <w:color w:val="000000"/>
                    </w:rPr>
                    <w:t>4分。</w:t>
                  </w:r>
                </w:p>
              </w:tc>
              <w:tc>
                <w:tcPr>
                  <w:tcW w:type="dxa" w:w="244"/>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spacing w:before="75"/>
                    <w:ind w:firstLine="230"/>
                    <w:jc w:val="both"/>
                  </w:pPr>
                  <w:r>
                    <w:rPr>
                      <w:rFonts w:ascii="仿宋_GB2312" w:hAnsi="仿宋_GB2312" w:cs="仿宋_GB2312" w:eastAsia="仿宋_GB2312"/>
                      <w:sz w:val="23"/>
                      <w:color w:val="000000"/>
                    </w:rPr>
                    <w:t>5</w:t>
                  </w:r>
                </w:p>
              </w:tc>
              <w:tc>
                <w:tcPr>
                  <w:tcW w:type="dxa" w:w="244"/>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jc w:val="left"/>
                  </w:pPr>
                </w:p>
              </w:tc>
            </w:tr>
            <w:tr>
              <w:tc>
                <w:tcPr>
                  <w:tcW w:type="dxa" w:w="154"/>
                  <w:tcBorders>
                    <w:top w:val="none" w:color="000000" w:sz="4"/>
                    <w:left w:val="single" w:color="000000" w:sz="4"/>
                    <w:bottom w:val="dotted" w:color="000000" w:sz="4"/>
                    <w:right w:val="dotted"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7</w:t>
                  </w:r>
                </w:p>
              </w:tc>
              <w:tc>
                <w:tcPr>
                  <w:tcW w:type="dxa" w:w="979"/>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ind w:left="15"/>
                    <w:jc w:val="both"/>
                  </w:pPr>
                  <w:r>
                    <w:rPr>
                      <w:rFonts w:ascii="仿宋_GB2312" w:hAnsi="仿宋_GB2312" w:cs="仿宋_GB2312" w:eastAsia="仿宋_GB2312"/>
                      <w:sz w:val="23"/>
                      <w:color w:val="000000"/>
                    </w:rPr>
                    <w:t>每月及时更新业务系统的水、气、声监测数据。</w:t>
                  </w:r>
                </w:p>
              </w:tc>
              <w:tc>
                <w:tcPr>
                  <w:tcW w:type="dxa" w:w="915"/>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spacing w:before="60"/>
                    <w:ind w:left="30" w:right="15"/>
                    <w:jc w:val="both"/>
                  </w:pPr>
                  <w:r>
                    <w:rPr>
                      <w:rFonts w:ascii="仿宋_GB2312" w:hAnsi="仿宋_GB2312" w:cs="仿宋_GB2312" w:eastAsia="仿宋_GB2312"/>
                      <w:sz w:val="23"/>
                      <w:color w:val="000000"/>
                    </w:rPr>
                    <w:t>未</w:t>
                  </w:r>
                  <w:r>
                    <w:rPr>
                      <w:rFonts w:ascii="仿宋_GB2312" w:hAnsi="仿宋_GB2312" w:cs="仿宋_GB2312" w:eastAsia="仿宋_GB2312"/>
                      <w:sz w:val="23"/>
                      <w:color w:val="000000"/>
                    </w:rPr>
                    <w:t>按</w:t>
                  </w:r>
                  <w:r>
                    <w:rPr>
                      <w:rFonts w:ascii="仿宋_GB2312" w:hAnsi="仿宋_GB2312" w:cs="仿宋_GB2312" w:eastAsia="仿宋_GB2312"/>
                      <w:sz w:val="23"/>
                      <w:color w:val="000000"/>
                    </w:rPr>
                    <w:t>要求进行</w:t>
                  </w:r>
                  <w:r>
                    <w:rPr>
                      <w:rFonts w:ascii="仿宋_GB2312" w:hAnsi="仿宋_GB2312" w:cs="仿宋_GB2312" w:eastAsia="仿宋_GB2312"/>
                      <w:sz w:val="23"/>
                      <w:color w:val="000000"/>
                    </w:rPr>
                    <w:t>更新</w:t>
                  </w:r>
                  <w:r>
                    <w:rPr>
                      <w:rFonts w:ascii="仿宋_GB2312" w:hAnsi="仿宋_GB2312" w:cs="仿宋_GB2312" w:eastAsia="仿宋_GB2312"/>
                      <w:sz w:val="23"/>
                      <w:color w:val="000000"/>
                    </w:rPr>
                    <w:t>，</w:t>
                  </w:r>
                  <w:r>
                    <w:rPr>
                      <w:rFonts w:ascii="仿宋_GB2312" w:hAnsi="仿宋_GB2312" w:cs="仿宋_GB2312" w:eastAsia="仿宋_GB2312"/>
                      <w:sz w:val="23"/>
                      <w:color w:val="000000"/>
                    </w:rPr>
                    <w:t>第项</w:t>
                  </w:r>
                  <w:r>
                    <w:rPr>
                      <w:rFonts w:ascii="仿宋_GB2312" w:hAnsi="仿宋_GB2312" w:cs="仿宋_GB2312" w:eastAsia="仿宋_GB2312"/>
                      <w:sz w:val="23"/>
                      <w:color w:val="000000"/>
                    </w:rPr>
                    <w:t>扣</w:t>
                  </w:r>
                  <w:r>
                    <w:rPr>
                      <w:rFonts w:ascii="仿宋_GB2312" w:hAnsi="仿宋_GB2312" w:cs="仿宋_GB2312" w:eastAsia="仿宋_GB2312"/>
                      <w:sz w:val="21"/>
                      <w:color w:val="000000"/>
                    </w:rPr>
                    <w:t xml:space="preserve"> </w:t>
                  </w:r>
                  <w:r>
                    <w:rPr>
                      <w:rFonts w:ascii="仿宋_GB2312" w:hAnsi="仿宋_GB2312" w:cs="仿宋_GB2312" w:eastAsia="仿宋_GB2312"/>
                      <w:sz w:val="23"/>
                      <w:color w:val="000000"/>
                    </w:rPr>
                    <w:t>2</w:t>
                  </w:r>
                  <w:r>
                    <w:rPr>
                      <w:rFonts w:ascii="仿宋_GB2312" w:hAnsi="仿宋_GB2312" w:cs="仿宋_GB2312" w:eastAsia="仿宋_GB2312"/>
                      <w:sz w:val="23"/>
                      <w:color w:val="000000"/>
                    </w:rPr>
                    <w:t xml:space="preserve"> </w:t>
                  </w:r>
                  <w:r>
                    <w:rPr>
                      <w:rFonts w:ascii="仿宋_GB2312" w:hAnsi="仿宋_GB2312" w:cs="仿宋_GB2312" w:eastAsia="仿宋_GB2312"/>
                      <w:sz w:val="23"/>
                      <w:color w:val="000000"/>
                    </w:rPr>
                    <w:t>分；</w:t>
                  </w:r>
                </w:p>
                <w:p>
                  <w:pPr>
                    <w:pStyle w:val="null3"/>
                    <w:ind w:left="30"/>
                    <w:jc w:val="both"/>
                  </w:pPr>
                </w:p>
              </w:tc>
              <w:tc>
                <w:tcPr>
                  <w:tcW w:type="dxa" w:w="244"/>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3"/>
                      <w:color w:val="000000"/>
                    </w:rPr>
                    <w:t>4</w:t>
                  </w:r>
                </w:p>
              </w:tc>
              <w:tc>
                <w:tcPr>
                  <w:tcW w:type="dxa" w:w="244"/>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jc w:val="left"/>
                  </w:pPr>
                </w:p>
              </w:tc>
            </w:tr>
          </w:tbl>
          <w:tbl>
            <w:tblPr>
              <w:tblBorders>
                <w:top w:val="none" w:color="000000" w:sz="4"/>
                <w:left w:val="none" w:color="000000" w:sz="4"/>
                <w:bottom w:val="none" w:color="000000" w:sz="4"/>
                <w:right w:val="none" w:color="000000" w:sz="4"/>
                <w:insideH w:val="none"/>
                <w:insideV w:val="none"/>
              </w:tblBorders>
            </w:tblPr>
            <w:tblGrid>
              <w:gridCol w:w="157"/>
              <w:gridCol w:w="974"/>
              <w:gridCol w:w="915"/>
              <w:gridCol w:w="243"/>
              <w:gridCol w:w="248"/>
            </w:tblGrid>
            <w:tr>
              <w:tc>
                <w:tcPr>
                  <w:tcW w:type="dxa" w:w="157"/>
                  <w:tcBorders>
                    <w:top w:val="dotted" w:color="000000" w:sz="4"/>
                    <w:left w:val="single" w:color="000000" w:sz="4"/>
                    <w:bottom w:val="dotted" w:color="000000" w:sz="4"/>
                    <w:right w:val="dotted"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3"/>
                      <w:color w:val="000000"/>
                    </w:rPr>
                    <w:t>8</w:t>
                  </w:r>
                </w:p>
              </w:tc>
              <w:tc>
                <w:tcPr>
                  <w:tcW w:type="dxa" w:w="974"/>
                  <w:tcBorders>
                    <w:top w:val="dotted" w:color="000000" w:sz="4"/>
                    <w:left w:val="dotted" w:color="000000" w:sz="4"/>
                    <w:bottom w:val="dotted" w:color="000000" w:sz="4"/>
                    <w:right w:val="dotted" w:color="000000" w:sz="4"/>
                  </w:tcBorders>
                  <w:tcMar>
                    <w:top w:type="dxa" w:w="0"/>
                    <w:left w:type="dxa" w:w="0"/>
                    <w:bottom w:type="dxa" w:w="0"/>
                    <w:right w:type="dxa" w:w="0"/>
                  </w:tcMar>
                  <w:vAlign w:val="top"/>
                </w:tcPr>
                <w:p>
                  <w:pPr>
                    <w:pStyle w:val="null3"/>
                    <w:spacing w:before="60"/>
                    <w:ind w:left="15" w:right="15"/>
                    <w:jc w:val="both"/>
                  </w:pPr>
                  <w:r>
                    <w:rPr>
                      <w:rFonts w:ascii="仿宋_GB2312" w:hAnsi="仿宋_GB2312" w:cs="仿宋_GB2312" w:eastAsia="仿宋_GB2312"/>
                      <w:sz w:val="23"/>
                      <w:color w:val="000000"/>
                    </w:rPr>
                    <w:t>每</w:t>
                  </w:r>
                  <w:r>
                    <w:rPr>
                      <w:rFonts w:ascii="仿宋_GB2312" w:hAnsi="仿宋_GB2312" w:cs="仿宋_GB2312" w:eastAsia="仿宋_GB2312"/>
                      <w:sz w:val="23"/>
                      <w:color w:val="000000"/>
                    </w:rPr>
                    <w:t>月做好资料的收集、整理，</w:t>
                  </w:r>
                  <w:r>
                    <w:rPr>
                      <w:rFonts w:ascii="仿宋_GB2312" w:hAnsi="仿宋_GB2312" w:cs="仿宋_GB2312" w:eastAsia="仿宋_GB2312"/>
                      <w:sz w:val="21"/>
                      <w:color w:val="000000"/>
                    </w:rPr>
                    <w:t xml:space="preserve"> </w:t>
                  </w:r>
                  <w:r>
                    <w:rPr>
                      <w:rFonts w:ascii="仿宋_GB2312" w:hAnsi="仿宋_GB2312" w:cs="仿宋_GB2312" w:eastAsia="仿宋_GB2312"/>
                      <w:sz w:val="23"/>
                      <w:color w:val="000000"/>
                    </w:rPr>
                    <w:t>提</w:t>
                  </w:r>
                  <w:r>
                    <w:rPr>
                      <w:rFonts w:ascii="仿宋_GB2312" w:hAnsi="仿宋_GB2312" w:cs="仿宋_GB2312" w:eastAsia="仿宋_GB2312"/>
                      <w:sz w:val="23"/>
                      <w:color w:val="000000"/>
                    </w:rPr>
                    <w:t>交</w:t>
                  </w:r>
                  <w:r>
                    <w:rPr>
                      <w:rFonts w:ascii="仿宋_GB2312" w:hAnsi="仿宋_GB2312" w:cs="仿宋_GB2312" w:eastAsia="仿宋_GB2312"/>
                      <w:sz w:val="23"/>
                      <w:color w:val="000000"/>
                    </w:rPr>
                    <w:t>月</w:t>
                  </w:r>
                  <w:r>
                    <w:rPr>
                      <w:rFonts w:ascii="仿宋_GB2312" w:hAnsi="仿宋_GB2312" w:cs="仿宋_GB2312" w:eastAsia="仿宋_GB2312"/>
                      <w:sz w:val="23"/>
                      <w:color w:val="000000"/>
                    </w:rPr>
                    <w:t>报告和建议，做好运维工</w:t>
                  </w:r>
                  <w:r>
                    <w:rPr>
                      <w:rFonts w:ascii="仿宋_GB2312" w:hAnsi="仿宋_GB2312" w:cs="仿宋_GB2312" w:eastAsia="仿宋_GB2312"/>
                      <w:sz w:val="23"/>
                      <w:color w:val="000000"/>
                    </w:rPr>
                    <w:t>作</w:t>
                  </w:r>
                  <w:r>
                    <w:rPr>
                      <w:rFonts w:ascii="仿宋_GB2312" w:hAnsi="仿宋_GB2312" w:cs="仿宋_GB2312" w:eastAsia="仿宋_GB2312"/>
                      <w:sz w:val="23"/>
                      <w:color w:val="000000"/>
                    </w:rPr>
                    <w:t>过程文档的收集、存档。</w:t>
                  </w:r>
                </w:p>
              </w:tc>
              <w:tc>
                <w:tcPr>
                  <w:tcW w:type="dxa" w:w="915"/>
                  <w:tcBorders>
                    <w:top w:val="dotted" w:color="000000" w:sz="4"/>
                    <w:left w:val="dotted" w:color="000000" w:sz="4"/>
                    <w:bottom w:val="dotted" w:color="000000" w:sz="4"/>
                    <w:right w:val="dotted" w:color="000000" w:sz="4"/>
                  </w:tcBorders>
                  <w:tcMar>
                    <w:top w:type="dxa" w:w="0"/>
                    <w:left w:type="dxa" w:w="0"/>
                    <w:bottom w:type="dxa" w:w="0"/>
                    <w:right w:type="dxa" w:w="0"/>
                  </w:tcMar>
                  <w:vAlign w:val="top"/>
                </w:tcPr>
                <w:p>
                  <w:pPr>
                    <w:pStyle w:val="null3"/>
                    <w:spacing w:before="60"/>
                    <w:ind w:left="30" w:right="15"/>
                    <w:jc w:val="both"/>
                  </w:pPr>
                  <w:r>
                    <w:rPr>
                      <w:rFonts w:ascii="仿宋_GB2312" w:hAnsi="仿宋_GB2312" w:cs="仿宋_GB2312" w:eastAsia="仿宋_GB2312"/>
                      <w:sz w:val="23"/>
                      <w:color w:val="000000"/>
                    </w:rPr>
                    <w:t>未</w:t>
                  </w:r>
                  <w:r>
                    <w:rPr>
                      <w:rFonts w:ascii="仿宋_GB2312" w:hAnsi="仿宋_GB2312" w:cs="仿宋_GB2312" w:eastAsia="仿宋_GB2312"/>
                      <w:sz w:val="23"/>
                      <w:color w:val="000000"/>
                    </w:rPr>
                    <w:t>按</w:t>
                  </w:r>
                  <w:r>
                    <w:rPr>
                      <w:rFonts w:ascii="仿宋_GB2312" w:hAnsi="仿宋_GB2312" w:cs="仿宋_GB2312" w:eastAsia="仿宋_GB2312"/>
                      <w:sz w:val="23"/>
                      <w:color w:val="000000"/>
                    </w:rPr>
                    <w:t>要求进行资料收集、整</w:t>
                  </w:r>
                  <w:r>
                    <w:rPr>
                      <w:rFonts w:ascii="仿宋_GB2312" w:hAnsi="仿宋_GB2312" w:cs="仿宋_GB2312" w:eastAsia="仿宋_GB2312"/>
                      <w:sz w:val="21"/>
                      <w:color w:val="000000"/>
                    </w:rPr>
                    <w:t xml:space="preserve"> </w:t>
                  </w:r>
                  <w:r>
                    <w:rPr>
                      <w:rFonts w:ascii="仿宋_GB2312" w:hAnsi="仿宋_GB2312" w:cs="仿宋_GB2312" w:eastAsia="仿宋_GB2312"/>
                      <w:sz w:val="23"/>
                      <w:color w:val="000000"/>
                    </w:rPr>
                    <w:t>理</w:t>
                  </w:r>
                  <w:r>
                    <w:rPr>
                      <w:rFonts w:ascii="仿宋_GB2312" w:hAnsi="仿宋_GB2312" w:cs="仿宋_GB2312" w:eastAsia="仿宋_GB2312"/>
                      <w:sz w:val="21"/>
                      <w:color w:val="000000"/>
                    </w:rPr>
                    <w:t xml:space="preserve"> </w:t>
                  </w:r>
                  <w:r>
                    <w:rPr>
                      <w:rFonts w:ascii="仿宋_GB2312" w:hAnsi="仿宋_GB2312" w:cs="仿宋_GB2312" w:eastAsia="仿宋_GB2312"/>
                      <w:sz w:val="23"/>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3"/>
                      <w:color w:val="000000"/>
                    </w:rPr>
                    <w:t>扣</w:t>
                  </w:r>
                  <w:r>
                    <w:rPr>
                      <w:rFonts w:ascii="仿宋_GB2312" w:hAnsi="仿宋_GB2312" w:cs="仿宋_GB2312" w:eastAsia="仿宋_GB2312"/>
                      <w:sz w:val="21"/>
                      <w:color w:val="000000"/>
                    </w:rPr>
                    <w:t xml:space="preserve"> </w:t>
                  </w:r>
                  <w:r>
                    <w:rPr>
                      <w:rFonts w:ascii="仿宋_GB2312" w:hAnsi="仿宋_GB2312" w:cs="仿宋_GB2312" w:eastAsia="仿宋_GB2312"/>
                      <w:sz w:val="23"/>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23"/>
                      <w:color w:val="000000"/>
                    </w:rPr>
                    <w:t>分；</w:t>
                  </w:r>
                </w:p>
                <w:p>
                  <w:pPr>
                    <w:pStyle w:val="null3"/>
                    <w:ind w:left="15" w:right="15" w:firstLine="2"/>
                    <w:jc w:val="both"/>
                  </w:pPr>
                </w:p>
              </w:tc>
              <w:tc>
                <w:tcPr>
                  <w:tcW w:type="dxa" w:w="243"/>
                  <w:tcBorders>
                    <w:top w:val="dotted" w:color="000000" w:sz="4"/>
                    <w:left w:val="dotted" w:color="000000" w:sz="4"/>
                    <w:bottom w:val="dotted" w:color="000000" w:sz="4"/>
                    <w:right w:val="dotted"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3"/>
                      <w:color w:val="000000"/>
                    </w:rPr>
                    <w:t>4</w:t>
                  </w:r>
                </w:p>
              </w:tc>
              <w:tc>
                <w:tcPr>
                  <w:tcW w:type="dxa" w:w="248"/>
                  <w:tcBorders>
                    <w:top w:val="dotted" w:color="000000" w:sz="4"/>
                    <w:left w:val="dotted" w:color="000000" w:sz="4"/>
                    <w:bottom w:val="dotted" w:color="000000" w:sz="4"/>
                    <w:right w:val="dotted" w:color="000000" w:sz="4"/>
                  </w:tcBorders>
                  <w:tcMar>
                    <w:top w:type="dxa" w:w="0"/>
                    <w:left w:type="dxa" w:w="0"/>
                    <w:bottom w:type="dxa" w:w="0"/>
                    <w:right w:type="dxa" w:w="0"/>
                  </w:tcMar>
                  <w:vAlign w:val="top"/>
                </w:tcPr>
                <w:p>
                  <w:pPr>
                    <w:pStyle w:val="null3"/>
                    <w:jc w:val="left"/>
                  </w:pPr>
                </w:p>
              </w:tc>
            </w:tr>
            <w:tr>
              <w:tc>
                <w:tcPr>
                  <w:tcW w:type="dxa" w:w="157"/>
                  <w:tcBorders>
                    <w:top w:val="none" w:color="000000" w:sz="4"/>
                    <w:left w:val="single" w:color="000000" w:sz="4"/>
                    <w:bottom w:val="dotted" w:color="000000" w:sz="4"/>
                    <w:right w:val="dotted"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3"/>
                      <w:color w:val="000000"/>
                    </w:rPr>
                    <w:t>二</w:t>
                  </w:r>
                </w:p>
              </w:tc>
              <w:tc>
                <w:tcPr>
                  <w:tcW w:type="dxa" w:w="1889"/>
                  <w:gridSpan w:val="2"/>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spacing w:before="45"/>
                    <w:ind w:left="2505"/>
                    <w:jc w:val="left"/>
                  </w:pPr>
                  <w:r>
                    <w:rPr>
                      <w:rFonts w:ascii="仿宋_GB2312" w:hAnsi="仿宋_GB2312" w:cs="仿宋_GB2312" w:eastAsia="仿宋_GB2312"/>
                      <w:sz w:val="23"/>
                      <w:color w:val="000000"/>
                    </w:rPr>
                    <w:t>服</w:t>
                  </w:r>
                  <w:r>
                    <w:rPr>
                      <w:rFonts w:ascii="仿宋_GB2312" w:hAnsi="仿宋_GB2312" w:cs="仿宋_GB2312" w:eastAsia="仿宋_GB2312"/>
                      <w:sz w:val="23"/>
                      <w:color w:val="000000"/>
                    </w:rPr>
                    <w:t>务指标控制</w:t>
                  </w:r>
                </w:p>
              </w:tc>
              <w:tc>
                <w:tcPr>
                  <w:tcW w:type="dxa" w:w="243"/>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spacing w:before="90"/>
                    <w:ind w:left="240"/>
                    <w:jc w:val="left"/>
                  </w:pPr>
                  <w:r>
                    <w:rPr>
                      <w:rFonts w:ascii="仿宋_GB2312" w:hAnsi="仿宋_GB2312" w:cs="仿宋_GB2312" w:eastAsia="仿宋_GB2312"/>
                      <w:sz w:val="23"/>
                      <w:color w:val="000000"/>
                    </w:rPr>
                    <w:t>30</w:t>
                  </w:r>
                </w:p>
              </w:tc>
              <w:tc>
                <w:tcPr>
                  <w:tcW w:type="dxa" w:w="248"/>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jc w:val="left"/>
                  </w:pPr>
                </w:p>
              </w:tc>
            </w:tr>
            <w:tr>
              <w:tc>
                <w:tcPr>
                  <w:tcW w:type="dxa" w:w="157"/>
                  <w:tcBorders>
                    <w:top w:val="none" w:color="000000" w:sz="4"/>
                    <w:left w:val="single" w:color="000000" w:sz="4"/>
                    <w:bottom w:val="dotted" w:color="000000" w:sz="4"/>
                    <w:right w:val="dotted"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3"/>
                      <w:color w:val="000000"/>
                    </w:rPr>
                    <w:t>1</w:t>
                  </w:r>
                </w:p>
              </w:tc>
              <w:tc>
                <w:tcPr>
                  <w:tcW w:type="dxa" w:w="974"/>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spacing w:before="255"/>
                    <w:jc w:val="both"/>
                  </w:pPr>
                  <w:r>
                    <w:rPr>
                      <w:rFonts w:ascii="仿宋_GB2312" w:hAnsi="仿宋_GB2312" w:cs="仿宋_GB2312" w:eastAsia="仿宋_GB2312"/>
                      <w:sz w:val="23"/>
                      <w:color w:val="000000"/>
                    </w:rPr>
                    <w:t>系</w:t>
                  </w:r>
                  <w:r>
                    <w:rPr>
                      <w:rFonts w:ascii="仿宋_GB2312" w:hAnsi="仿宋_GB2312" w:cs="仿宋_GB2312" w:eastAsia="仿宋_GB2312"/>
                      <w:sz w:val="23"/>
                      <w:color w:val="000000"/>
                    </w:rPr>
                    <w:t>统可用率：大于等于</w:t>
                  </w:r>
                  <w:r>
                    <w:rPr>
                      <w:rFonts w:ascii="仿宋_GB2312" w:hAnsi="仿宋_GB2312" w:cs="仿宋_GB2312" w:eastAsia="仿宋_GB2312"/>
                      <w:sz w:val="23"/>
                      <w:color w:val="000000"/>
                    </w:rPr>
                    <w:t>90%。(注：</w:t>
                  </w:r>
                  <w:r>
                    <w:rPr>
                      <w:rFonts w:ascii="仿宋_GB2312" w:hAnsi="仿宋_GB2312" w:cs="仿宋_GB2312" w:eastAsia="仿宋_GB2312"/>
                      <w:sz w:val="21"/>
                      <w:color w:val="000000"/>
                    </w:rPr>
                    <w:t xml:space="preserve"> </w:t>
                  </w:r>
                  <w:r>
                    <w:rPr>
                      <w:rFonts w:ascii="仿宋_GB2312" w:hAnsi="仿宋_GB2312" w:cs="仿宋_GB2312" w:eastAsia="仿宋_GB2312"/>
                      <w:sz w:val="23"/>
                      <w:color w:val="000000"/>
                    </w:rPr>
                    <w:t>系统可用率</w:t>
                  </w:r>
                  <w:r>
                    <w:rPr>
                      <w:rFonts w:ascii="仿宋_GB2312" w:hAnsi="仿宋_GB2312" w:cs="仿宋_GB2312" w:eastAsia="仿宋_GB2312"/>
                      <w:sz w:val="23"/>
                      <w:color w:val="000000"/>
                    </w:rPr>
                    <w:t>=1-季度异常宕机小</w:t>
                  </w:r>
                  <w:r>
                    <w:rPr>
                      <w:rFonts w:ascii="仿宋_GB2312" w:hAnsi="仿宋_GB2312" w:cs="仿宋_GB2312" w:eastAsia="仿宋_GB2312"/>
                      <w:sz w:val="23"/>
                      <w:color w:val="000000"/>
                    </w:rPr>
                    <w:t>时</w:t>
                  </w:r>
                  <w:r>
                    <w:rPr>
                      <w:rFonts w:ascii="仿宋_GB2312" w:hAnsi="仿宋_GB2312" w:cs="仿宋_GB2312" w:eastAsia="仿宋_GB2312"/>
                      <w:sz w:val="21"/>
                      <w:color w:val="000000"/>
                    </w:rPr>
                    <w:t xml:space="preserve"> </w:t>
                  </w:r>
                  <w:r>
                    <w:rPr>
                      <w:rFonts w:ascii="仿宋_GB2312" w:hAnsi="仿宋_GB2312" w:cs="仿宋_GB2312" w:eastAsia="仿宋_GB2312"/>
                      <w:sz w:val="23"/>
                      <w:color w:val="000000"/>
                    </w:rPr>
                    <w:t>数</w:t>
                  </w:r>
                  <w:r>
                    <w:rPr>
                      <w:rFonts w:ascii="仿宋_GB2312" w:hAnsi="仿宋_GB2312" w:cs="仿宋_GB2312" w:eastAsia="仿宋_GB2312"/>
                      <w:sz w:val="23"/>
                      <w:color w:val="000000"/>
                    </w:rPr>
                    <w:t xml:space="preserve">/季度小时数*100%) </w:t>
                  </w:r>
                  <w:r>
                    <w:rPr>
                      <w:rFonts w:ascii="仿宋_GB2312" w:hAnsi="仿宋_GB2312" w:cs="仿宋_GB2312" w:eastAsia="仿宋_GB2312"/>
                      <w:sz w:val="23"/>
                      <w:color w:val="000000"/>
                    </w:rPr>
                    <w:t>。</w:t>
                  </w:r>
                </w:p>
              </w:tc>
              <w:tc>
                <w:tcPr>
                  <w:tcW w:type="dxa" w:w="915"/>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spacing w:before="45"/>
                    <w:ind w:left="30" w:right="45" w:firstLine="1"/>
                    <w:jc w:val="both"/>
                  </w:pPr>
                  <w:r>
                    <w:rPr>
                      <w:rFonts w:ascii="仿宋_GB2312" w:hAnsi="仿宋_GB2312" w:cs="仿宋_GB2312" w:eastAsia="仿宋_GB2312"/>
                      <w:sz w:val="23"/>
                      <w:color w:val="000000"/>
                    </w:rPr>
                    <w:t>系</w:t>
                  </w:r>
                  <w:r>
                    <w:rPr>
                      <w:rFonts w:ascii="仿宋_GB2312" w:hAnsi="仿宋_GB2312" w:cs="仿宋_GB2312" w:eastAsia="仿宋_GB2312"/>
                      <w:sz w:val="23"/>
                      <w:color w:val="000000"/>
                    </w:rPr>
                    <w:t>统可用率小于</w:t>
                  </w:r>
                  <w:r>
                    <w:rPr>
                      <w:rFonts w:ascii="仿宋_GB2312" w:hAnsi="仿宋_GB2312" w:cs="仿宋_GB2312" w:eastAsia="仿宋_GB2312"/>
                      <w:sz w:val="23"/>
                      <w:color w:val="000000"/>
                    </w:rPr>
                    <w:t>90%，扣2</w:t>
                  </w:r>
                  <w:r>
                    <w:rPr>
                      <w:rFonts w:ascii="仿宋_GB2312" w:hAnsi="仿宋_GB2312" w:cs="仿宋_GB2312" w:eastAsia="仿宋_GB2312"/>
                      <w:sz w:val="23"/>
                      <w:color w:val="000000"/>
                    </w:rPr>
                    <w:t>分</w:t>
                  </w:r>
                  <w:r>
                    <w:rPr>
                      <w:rFonts w:ascii="仿宋_GB2312" w:hAnsi="仿宋_GB2312" w:cs="仿宋_GB2312" w:eastAsia="仿宋_GB2312"/>
                      <w:sz w:val="23"/>
                      <w:color w:val="000000"/>
                    </w:rPr>
                    <w:t>；</w:t>
                  </w:r>
                  <w:r>
                    <w:rPr>
                      <w:rFonts w:ascii="仿宋_GB2312" w:hAnsi="仿宋_GB2312" w:cs="仿宋_GB2312" w:eastAsia="仿宋_GB2312"/>
                      <w:sz w:val="23"/>
                      <w:color w:val="000000"/>
                    </w:rPr>
                    <w:t>小</w:t>
                  </w:r>
                  <w:r>
                    <w:rPr>
                      <w:rFonts w:ascii="仿宋_GB2312" w:hAnsi="仿宋_GB2312" w:cs="仿宋_GB2312" w:eastAsia="仿宋_GB2312"/>
                      <w:sz w:val="23"/>
                      <w:color w:val="000000"/>
                    </w:rPr>
                    <w:t>于</w:t>
                  </w:r>
                  <w:r>
                    <w:rPr>
                      <w:rFonts w:ascii="仿宋_GB2312" w:hAnsi="仿宋_GB2312" w:cs="仿宋_GB2312" w:eastAsia="仿宋_GB2312"/>
                      <w:sz w:val="23"/>
                      <w:color w:val="000000"/>
                    </w:rPr>
                    <w:t>85%，扣5分；</w:t>
                  </w:r>
                  <w:r>
                    <w:rPr>
                      <w:rFonts w:ascii="仿宋_GB2312" w:hAnsi="仿宋_GB2312" w:cs="仿宋_GB2312" w:eastAsia="仿宋_GB2312"/>
                      <w:sz w:val="23"/>
                      <w:color w:val="000000"/>
                    </w:rPr>
                    <w:t>小</w:t>
                  </w:r>
                  <w:r>
                    <w:rPr>
                      <w:rFonts w:ascii="仿宋_GB2312" w:hAnsi="仿宋_GB2312" w:cs="仿宋_GB2312" w:eastAsia="仿宋_GB2312"/>
                      <w:sz w:val="23"/>
                      <w:color w:val="000000"/>
                    </w:rPr>
                    <w:t>于</w:t>
                  </w:r>
                  <w:r>
                    <w:rPr>
                      <w:rFonts w:ascii="仿宋_GB2312" w:hAnsi="仿宋_GB2312" w:cs="仿宋_GB2312" w:eastAsia="仿宋_GB2312"/>
                      <w:sz w:val="23"/>
                      <w:color w:val="000000"/>
                    </w:rPr>
                    <w:t>75%，扣10分。</w:t>
                  </w:r>
                </w:p>
              </w:tc>
              <w:tc>
                <w:tcPr>
                  <w:tcW w:type="dxa" w:w="243"/>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3"/>
                      <w:color w:val="000000"/>
                    </w:rPr>
                    <w:t>1</w:t>
                  </w:r>
                  <w:r>
                    <w:rPr>
                      <w:rFonts w:ascii="仿宋_GB2312" w:hAnsi="仿宋_GB2312" w:cs="仿宋_GB2312" w:eastAsia="仿宋_GB2312"/>
                      <w:sz w:val="23"/>
                      <w:color w:val="000000"/>
                    </w:rPr>
                    <w:t>0</w:t>
                  </w:r>
                </w:p>
              </w:tc>
              <w:tc>
                <w:tcPr>
                  <w:tcW w:type="dxa" w:w="248"/>
                  <w:tcBorders>
                    <w:top w:val="dotted" w:color="000000" w:sz="4"/>
                    <w:left w:val="dotted" w:color="000000" w:sz="4"/>
                    <w:bottom w:val="dotted" w:color="000000" w:sz="4"/>
                    <w:right w:val="dotted" w:color="000000" w:sz="4"/>
                  </w:tcBorders>
                  <w:tcMar>
                    <w:top w:type="dxa" w:w="0"/>
                    <w:left w:type="dxa" w:w="0"/>
                    <w:bottom w:type="dxa" w:w="0"/>
                    <w:right w:type="dxa" w:w="0"/>
                  </w:tcMar>
                  <w:vAlign w:val="top"/>
                </w:tcPr>
                <w:p>
                  <w:pPr>
                    <w:pStyle w:val="null3"/>
                    <w:jc w:val="left"/>
                  </w:pPr>
                </w:p>
              </w:tc>
            </w:tr>
            <w:tr>
              <w:tc>
                <w:tcPr>
                  <w:tcW w:type="dxa" w:w="157"/>
                  <w:tcBorders>
                    <w:top w:val="none" w:color="000000" w:sz="4"/>
                    <w:left w:val="single" w:color="000000" w:sz="4"/>
                    <w:bottom w:val="dotted" w:color="000000" w:sz="4"/>
                    <w:right w:val="dotted"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3"/>
                      <w:color w:val="000000"/>
                    </w:rPr>
                    <w:t>2</w:t>
                  </w:r>
                </w:p>
              </w:tc>
              <w:tc>
                <w:tcPr>
                  <w:tcW w:type="dxa" w:w="974"/>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spacing w:before="75"/>
                    <w:ind w:left="15"/>
                    <w:jc w:val="both"/>
                  </w:pPr>
                  <w:r>
                    <w:rPr>
                      <w:rFonts w:ascii="仿宋_GB2312" w:hAnsi="仿宋_GB2312" w:cs="仿宋_GB2312" w:eastAsia="仿宋_GB2312"/>
                      <w:sz w:val="23"/>
                      <w:color w:val="000000"/>
                    </w:rPr>
                    <w:t>服务受理时间：</w:t>
                  </w:r>
                  <w:r>
                    <w:rPr>
                      <w:rFonts w:ascii="仿宋_GB2312" w:hAnsi="仿宋_GB2312" w:cs="仿宋_GB2312" w:eastAsia="仿宋_GB2312"/>
                      <w:sz w:val="23"/>
                      <w:color w:val="000000"/>
                    </w:rPr>
                    <w:t>7*24小时。</w:t>
                  </w:r>
                </w:p>
              </w:tc>
              <w:tc>
                <w:tcPr>
                  <w:tcW w:type="dxa" w:w="915"/>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spacing w:before="75"/>
                    <w:ind w:left="30"/>
                    <w:jc w:val="both"/>
                  </w:pPr>
                  <w:r>
                    <w:rPr>
                      <w:rFonts w:ascii="仿宋_GB2312" w:hAnsi="仿宋_GB2312" w:cs="仿宋_GB2312" w:eastAsia="仿宋_GB2312"/>
                      <w:sz w:val="23"/>
                      <w:color w:val="000000"/>
                    </w:rPr>
                    <w:t>不</w:t>
                  </w:r>
                  <w:r>
                    <w:rPr>
                      <w:rFonts w:ascii="仿宋_GB2312" w:hAnsi="仿宋_GB2312" w:cs="仿宋_GB2312" w:eastAsia="仿宋_GB2312"/>
                      <w:sz w:val="23"/>
                      <w:color w:val="000000"/>
                    </w:rPr>
                    <w:t>满足要求，该项得分为</w:t>
                  </w:r>
                  <w:r>
                    <w:rPr>
                      <w:rFonts w:ascii="仿宋_GB2312" w:hAnsi="仿宋_GB2312" w:cs="仿宋_GB2312" w:eastAsia="仿宋_GB2312"/>
                      <w:sz w:val="23"/>
                      <w:color w:val="000000"/>
                    </w:rPr>
                    <w:t>0。</w:t>
                  </w:r>
                </w:p>
              </w:tc>
              <w:tc>
                <w:tcPr>
                  <w:tcW w:type="dxa" w:w="243"/>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spacing w:before="120"/>
                    <w:ind w:left="300"/>
                    <w:jc w:val="left"/>
                  </w:pPr>
                  <w:r>
                    <w:rPr>
                      <w:rFonts w:ascii="仿宋_GB2312" w:hAnsi="仿宋_GB2312" w:cs="仿宋_GB2312" w:eastAsia="仿宋_GB2312"/>
                      <w:sz w:val="23"/>
                      <w:color w:val="000000"/>
                    </w:rPr>
                    <w:t>6</w:t>
                  </w:r>
                </w:p>
              </w:tc>
              <w:tc>
                <w:tcPr>
                  <w:tcW w:type="dxa" w:w="248"/>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jc w:val="left"/>
                  </w:pPr>
                </w:p>
              </w:tc>
            </w:tr>
            <w:tr>
              <w:tc>
                <w:tcPr>
                  <w:tcW w:type="dxa" w:w="157"/>
                  <w:tcBorders>
                    <w:top w:val="none" w:color="000000" w:sz="4"/>
                    <w:left w:val="single" w:color="000000" w:sz="4"/>
                    <w:bottom w:val="dotted" w:color="000000" w:sz="4"/>
                    <w:right w:val="dotted"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3"/>
                      <w:color w:val="000000"/>
                    </w:rPr>
                    <w:t>3</w:t>
                  </w:r>
                </w:p>
              </w:tc>
              <w:tc>
                <w:tcPr>
                  <w:tcW w:type="dxa" w:w="974"/>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spacing w:before="255"/>
                    <w:ind w:left="15" w:right="45"/>
                    <w:jc w:val="both"/>
                  </w:pPr>
                  <w:r>
                    <w:rPr>
                      <w:rFonts w:ascii="仿宋_GB2312" w:hAnsi="仿宋_GB2312" w:cs="仿宋_GB2312" w:eastAsia="仿宋_GB2312"/>
                      <w:sz w:val="23"/>
                      <w:color w:val="000000"/>
                    </w:rPr>
                    <w:t>服</w:t>
                  </w:r>
                  <w:r>
                    <w:rPr>
                      <w:rFonts w:ascii="仿宋_GB2312" w:hAnsi="仿宋_GB2312" w:cs="仿宋_GB2312" w:eastAsia="仿宋_GB2312"/>
                      <w:sz w:val="23"/>
                      <w:color w:val="000000"/>
                    </w:rPr>
                    <w:t>务</w:t>
                  </w:r>
                  <w:r>
                    <w:rPr>
                      <w:rFonts w:ascii="仿宋_GB2312" w:hAnsi="仿宋_GB2312" w:cs="仿宋_GB2312" w:eastAsia="仿宋_GB2312"/>
                      <w:sz w:val="23"/>
                      <w:color w:val="000000"/>
                    </w:rPr>
                    <w:t>响应时间：常驻，即时响应</w:t>
                  </w:r>
                  <w:r>
                    <w:rPr>
                      <w:rFonts w:ascii="仿宋_GB2312" w:hAnsi="仿宋_GB2312" w:cs="仿宋_GB2312" w:eastAsia="仿宋_GB2312"/>
                      <w:sz w:val="23"/>
                      <w:color w:val="000000"/>
                    </w:rPr>
                    <w:t>。</w:t>
                  </w:r>
                  <w:r>
                    <w:rPr>
                      <w:rFonts w:ascii="仿宋_GB2312" w:hAnsi="仿宋_GB2312" w:cs="仿宋_GB2312" w:eastAsia="仿宋_GB2312"/>
                      <w:sz w:val="23"/>
                      <w:color w:val="000000"/>
                    </w:rPr>
                    <w:t>非常驻</w:t>
                  </w:r>
                  <w:r>
                    <w:rPr>
                      <w:rFonts w:ascii="仿宋_GB2312" w:hAnsi="仿宋_GB2312" w:cs="仿宋_GB2312" w:eastAsia="仿宋_GB2312"/>
                      <w:sz w:val="23"/>
                      <w:color w:val="000000"/>
                    </w:rPr>
                    <w:t>≤</w:t>
                  </w:r>
                  <w:r>
                    <w:rPr>
                      <w:rFonts w:ascii="仿宋_GB2312" w:hAnsi="仿宋_GB2312" w:cs="仿宋_GB2312" w:eastAsia="仿宋_GB2312"/>
                      <w:sz w:val="23"/>
                      <w:color w:val="000000"/>
                    </w:rPr>
                    <w:t>2 小时。</w:t>
                  </w:r>
                </w:p>
              </w:tc>
              <w:tc>
                <w:tcPr>
                  <w:tcW w:type="dxa" w:w="915"/>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spacing w:before="45"/>
                    <w:ind w:left="15" w:firstLine="12"/>
                    <w:jc w:val="both"/>
                  </w:pPr>
                  <w:r>
                    <w:rPr>
                      <w:rFonts w:ascii="仿宋_GB2312" w:hAnsi="仿宋_GB2312" w:cs="仿宋_GB2312" w:eastAsia="仿宋_GB2312"/>
                      <w:sz w:val="23"/>
                      <w:color w:val="000000"/>
                    </w:rPr>
                    <w:t>响应</w:t>
                  </w:r>
                  <w:r>
                    <w:rPr>
                      <w:rFonts w:ascii="仿宋_GB2312" w:hAnsi="仿宋_GB2312" w:cs="仿宋_GB2312" w:eastAsia="仿宋_GB2312"/>
                      <w:sz w:val="23"/>
                      <w:color w:val="000000"/>
                    </w:rPr>
                    <w:t xml:space="preserve"> </w:t>
                  </w:r>
                  <w:r>
                    <w:rPr>
                      <w:rFonts w:ascii="仿宋_GB2312" w:hAnsi="仿宋_GB2312" w:cs="仿宋_GB2312" w:eastAsia="仿宋_GB2312"/>
                      <w:sz w:val="23"/>
                      <w:color w:val="000000"/>
                    </w:rPr>
                    <w:t>滞</w:t>
                  </w:r>
                  <w:r>
                    <w:rPr>
                      <w:rFonts w:ascii="仿宋_GB2312" w:hAnsi="仿宋_GB2312" w:cs="仿宋_GB2312" w:eastAsia="仿宋_GB2312"/>
                      <w:sz w:val="23"/>
                      <w:color w:val="000000"/>
                    </w:rPr>
                    <w:t>后</w:t>
                  </w:r>
                  <w:r>
                    <w:rPr>
                      <w:rFonts w:ascii="仿宋_GB2312" w:hAnsi="仿宋_GB2312" w:cs="仿宋_GB2312" w:eastAsia="仿宋_GB2312"/>
                      <w:sz w:val="23"/>
                      <w:color w:val="000000"/>
                    </w:rPr>
                    <w:t>1</w:t>
                  </w:r>
                  <w:r>
                    <w:rPr>
                      <w:rFonts w:ascii="仿宋_GB2312" w:hAnsi="仿宋_GB2312" w:cs="仿宋_GB2312" w:eastAsia="仿宋_GB2312"/>
                      <w:sz w:val="23"/>
                      <w:color w:val="000000"/>
                    </w:rPr>
                    <w:t>小时，扣</w:t>
                  </w:r>
                  <w:r>
                    <w:rPr>
                      <w:rFonts w:ascii="仿宋_GB2312" w:hAnsi="仿宋_GB2312" w:cs="仿宋_GB2312" w:eastAsia="仿宋_GB2312"/>
                      <w:sz w:val="23"/>
                      <w:color w:val="000000"/>
                    </w:rPr>
                    <w:t>2</w:t>
                  </w:r>
                  <w:r>
                    <w:rPr>
                      <w:rFonts w:ascii="仿宋_GB2312" w:hAnsi="仿宋_GB2312" w:cs="仿宋_GB2312" w:eastAsia="仿宋_GB2312"/>
                      <w:sz w:val="23"/>
                      <w:color w:val="000000"/>
                    </w:rPr>
                    <w:t>分</w:t>
                  </w:r>
                  <w:r>
                    <w:rPr>
                      <w:rFonts w:ascii="仿宋_GB2312" w:hAnsi="仿宋_GB2312" w:cs="仿宋_GB2312" w:eastAsia="仿宋_GB2312"/>
                      <w:sz w:val="23"/>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3"/>
                      <w:color w:val="000000"/>
                    </w:rPr>
                    <w:t>滞</w:t>
                  </w:r>
                  <w:r>
                    <w:rPr>
                      <w:rFonts w:ascii="仿宋_GB2312" w:hAnsi="仿宋_GB2312" w:cs="仿宋_GB2312" w:eastAsia="仿宋_GB2312"/>
                      <w:sz w:val="23"/>
                      <w:color w:val="000000"/>
                    </w:rPr>
                    <w:t>后</w:t>
                  </w:r>
                  <w:r>
                    <w:rPr>
                      <w:rFonts w:ascii="仿宋_GB2312" w:hAnsi="仿宋_GB2312" w:cs="仿宋_GB2312" w:eastAsia="仿宋_GB2312"/>
                      <w:sz w:val="23"/>
                      <w:color w:val="000000"/>
                    </w:rPr>
                    <w:t>1.5</w:t>
                  </w:r>
                  <w:r>
                    <w:rPr>
                      <w:rFonts w:ascii="仿宋_GB2312" w:hAnsi="仿宋_GB2312" w:cs="仿宋_GB2312" w:eastAsia="仿宋_GB2312"/>
                      <w:sz w:val="23"/>
                      <w:color w:val="000000"/>
                    </w:rPr>
                    <w:t>小时，扣</w:t>
                  </w:r>
                  <w:r>
                    <w:rPr>
                      <w:rFonts w:ascii="仿宋_GB2312" w:hAnsi="仿宋_GB2312" w:cs="仿宋_GB2312" w:eastAsia="仿宋_GB2312"/>
                      <w:sz w:val="23"/>
                      <w:color w:val="000000"/>
                    </w:rPr>
                    <w:t>4分；</w:t>
                  </w:r>
                  <w:r>
                    <w:rPr>
                      <w:rFonts w:ascii="仿宋_GB2312" w:hAnsi="仿宋_GB2312" w:cs="仿宋_GB2312" w:eastAsia="仿宋_GB2312"/>
                      <w:sz w:val="23"/>
                      <w:color w:val="000000"/>
                    </w:rPr>
                    <w:t>滞</w:t>
                  </w:r>
                  <w:r>
                    <w:rPr>
                      <w:rFonts w:ascii="仿宋_GB2312" w:hAnsi="仿宋_GB2312" w:cs="仿宋_GB2312" w:eastAsia="仿宋_GB2312"/>
                      <w:sz w:val="23"/>
                      <w:color w:val="000000"/>
                    </w:rPr>
                    <w:t>后</w:t>
                  </w:r>
                  <w:r>
                    <w:rPr>
                      <w:rFonts w:ascii="仿宋_GB2312" w:hAnsi="仿宋_GB2312" w:cs="仿宋_GB2312" w:eastAsia="仿宋_GB2312"/>
                      <w:sz w:val="23"/>
                      <w:color w:val="000000"/>
                    </w:rPr>
                    <w:t>2 小时</w:t>
                  </w:r>
                  <w:r>
                    <w:rPr>
                      <w:rFonts w:ascii="仿宋_GB2312" w:hAnsi="仿宋_GB2312" w:cs="仿宋_GB2312" w:eastAsia="仿宋_GB2312"/>
                      <w:sz w:val="23"/>
                      <w:color w:val="000000"/>
                    </w:rPr>
                    <w:t>，</w:t>
                  </w:r>
                  <w:r>
                    <w:rPr>
                      <w:rFonts w:ascii="仿宋_GB2312" w:hAnsi="仿宋_GB2312" w:cs="仿宋_GB2312" w:eastAsia="仿宋_GB2312"/>
                      <w:sz w:val="23"/>
                      <w:color w:val="000000"/>
                    </w:rPr>
                    <w:t>扣</w:t>
                  </w:r>
                  <w:r>
                    <w:rPr>
                      <w:rFonts w:ascii="仿宋_GB2312" w:hAnsi="仿宋_GB2312" w:cs="仿宋_GB2312" w:eastAsia="仿宋_GB2312"/>
                      <w:sz w:val="23"/>
                      <w:color w:val="000000"/>
                    </w:rPr>
                    <w:t>6 分。</w:t>
                  </w:r>
                </w:p>
              </w:tc>
              <w:tc>
                <w:tcPr>
                  <w:tcW w:type="dxa" w:w="243"/>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3"/>
                      <w:color w:val="000000"/>
                    </w:rPr>
                    <w:t>6</w:t>
                  </w:r>
                </w:p>
              </w:tc>
              <w:tc>
                <w:tcPr>
                  <w:tcW w:type="dxa" w:w="248"/>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jc w:val="left"/>
                  </w:pPr>
                </w:p>
              </w:tc>
            </w:tr>
            <w:tr>
              <w:tc>
                <w:tcPr>
                  <w:tcW w:type="dxa" w:w="157"/>
                  <w:tcBorders>
                    <w:top w:val="none" w:color="000000" w:sz="4"/>
                    <w:left w:val="single" w:color="000000" w:sz="4"/>
                    <w:bottom w:val="dotted" w:color="000000" w:sz="4"/>
                    <w:right w:val="dotted"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3"/>
                      <w:color w:val="000000"/>
                    </w:rPr>
                    <w:t>4</w:t>
                  </w:r>
                </w:p>
              </w:tc>
              <w:tc>
                <w:tcPr>
                  <w:tcW w:type="dxa" w:w="974"/>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spacing w:before="75"/>
                    <w:jc w:val="both"/>
                  </w:pPr>
                  <w:r>
                    <w:rPr>
                      <w:rFonts w:ascii="仿宋_GB2312" w:hAnsi="仿宋_GB2312" w:cs="仿宋_GB2312" w:eastAsia="仿宋_GB2312"/>
                      <w:sz w:val="23"/>
                      <w:color w:val="000000"/>
                    </w:rPr>
                    <w:t>故障恢复时间：一般故障小于等</w:t>
                  </w:r>
                  <w:r>
                    <w:rPr>
                      <w:rFonts w:ascii="仿宋_GB2312" w:hAnsi="仿宋_GB2312" w:cs="仿宋_GB2312" w:eastAsia="仿宋_GB2312"/>
                      <w:sz w:val="23"/>
                      <w:color w:val="000000"/>
                    </w:rPr>
                    <w:t>于</w:t>
                  </w:r>
                  <w:r>
                    <w:rPr>
                      <w:rFonts w:ascii="仿宋_GB2312" w:hAnsi="仿宋_GB2312" w:cs="仿宋_GB2312" w:eastAsia="仿宋_GB2312"/>
                      <w:sz w:val="23"/>
                      <w:color w:val="000000"/>
                    </w:rPr>
                    <w:t>2</w:t>
                  </w:r>
                  <w:r>
                    <w:rPr>
                      <w:rFonts w:ascii="仿宋_GB2312" w:hAnsi="仿宋_GB2312" w:cs="仿宋_GB2312" w:eastAsia="仿宋_GB2312"/>
                      <w:sz w:val="23"/>
                      <w:color w:val="000000"/>
                    </w:rPr>
                    <w:t>小时，重大故障小于等于</w:t>
                  </w:r>
                  <w:r>
                    <w:rPr>
                      <w:rFonts w:ascii="仿宋_GB2312" w:hAnsi="仿宋_GB2312" w:cs="仿宋_GB2312" w:eastAsia="仿宋_GB2312"/>
                      <w:sz w:val="23"/>
                      <w:color w:val="000000"/>
                    </w:rPr>
                    <w:t>6小时</w:t>
                  </w:r>
                  <w:r>
                    <w:rPr>
                      <w:rFonts w:ascii="仿宋_GB2312" w:hAnsi="仿宋_GB2312" w:cs="仿宋_GB2312" w:eastAsia="仿宋_GB2312"/>
                      <w:sz w:val="23"/>
                      <w:color w:val="000000"/>
                    </w:rPr>
                    <w:t>。</w:t>
                  </w:r>
                </w:p>
              </w:tc>
              <w:tc>
                <w:tcPr>
                  <w:tcW w:type="dxa" w:w="915"/>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spacing w:before="60"/>
                    <w:ind w:left="30"/>
                    <w:jc w:val="both"/>
                  </w:pPr>
                  <w:r>
                    <w:rPr>
                      <w:rFonts w:ascii="仿宋_GB2312" w:hAnsi="仿宋_GB2312" w:cs="仿宋_GB2312" w:eastAsia="仿宋_GB2312"/>
                      <w:sz w:val="23"/>
                      <w:color w:val="000000"/>
                    </w:rPr>
                    <w:t>故</w:t>
                  </w:r>
                  <w:r>
                    <w:rPr>
                      <w:rFonts w:ascii="仿宋_GB2312" w:hAnsi="仿宋_GB2312" w:cs="仿宋_GB2312" w:eastAsia="仿宋_GB2312"/>
                      <w:sz w:val="23"/>
                      <w:color w:val="000000"/>
                    </w:rPr>
                    <w:t>障</w:t>
                  </w:r>
                  <w:r>
                    <w:rPr>
                      <w:rFonts w:ascii="仿宋_GB2312" w:hAnsi="仿宋_GB2312" w:cs="仿宋_GB2312" w:eastAsia="仿宋_GB2312"/>
                      <w:sz w:val="23"/>
                      <w:color w:val="000000"/>
                    </w:rPr>
                    <w:t>修复时间滞后</w:t>
                  </w:r>
                  <w:r>
                    <w:rPr>
                      <w:rFonts w:ascii="仿宋_GB2312" w:hAnsi="仿宋_GB2312" w:cs="仿宋_GB2312" w:eastAsia="仿宋_GB2312"/>
                      <w:sz w:val="23"/>
                      <w:color w:val="000000"/>
                    </w:rPr>
                    <w:t>2</w:t>
                  </w:r>
                  <w:r>
                    <w:rPr>
                      <w:rFonts w:ascii="仿宋_GB2312" w:hAnsi="仿宋_GB2312" w:cs="仿宋_GB2312" w:eastAsia="仿宋_GB2312"/>
                      <w:sz w:val="23"/>
                      <w:color w:val="000000"/>
                    </w:rPr>
                    <w:t>小时</w:t>
                  </w:r>
                  <w:r>
                    <w:rPr>
                      <w:rFonts w:ascii="仿宋_GB2312" w:hAnsi="仿宋_GB2312" w:cs="仿宋_GB2312" w:eastAsia="仿宋_GB2312"/>
                      <w:sz w:val="23"/>
                      <w:color w:val="000000"/>
                    </w:rPr>
                    <w:t>，</w:t>
                  </w:r>
                  <w:r>
                    <w:rPr>
                      <w:rFonts w:ascii="仿宋_GB2312" w:hAnsi="仿宋_GB2312" w:cs="仿宋_GB2312" w:eastAsia="仿宋_GB2312"/>
                      <w:sz w:val="23"/>
                      <w:color w:val="000000"/>
                    </w:rPr>
                    <w:t>扣</w:t>
                  </w:r>
                  <w:r>
                    <w:rPr>
                      <w:rFonts w:ascii="仿宋_GB2312" w:hAnsi="仿宋_GB2312" w:cs="仿宋_GB2312" w:eastAsia="仿宋_GB2312"/>
                      <w:sz w:val="23"/>
                      <w:color w:val="000000"/>
                    </w:rPr>
                    <w:t xml:space="preserve"> </w:t>
                  </w:r>
                  <w:r>
                    <w:rPr>
                      <w:rFonts w:ascii="仿宋_GB2312" w:hAnsi="仿宋_GB2312" w:cs="仿宋_GB2312" w:eastAsia="仿宋_GB2312"/>
                      <w:sz w:val="23"/>
                      <w:color w:val="000000"/>
                    </w:rPr>
                    <w:t>2 分；</w:t>
                  </w:r>
                  <w:r>
                    <w:rPr>
                      <w:rFonts w:ascii="仿宋_GB2312" w:hAnsi="仿宋_GB2312" w:cs="仿宋_GB2312" w:eastAsia="仿宋_GB2312"/>
                      <w:sz w:val="23"/>
                      <w:color w:val="000000"/>
                    </w:rPr>
                    <w:t>滞</w:t>
                  </w:r>
                  <w:r>
                    <w:rPr>
                      <w:rFonts w:ascii="仿宋_GB2312" w:hAnsi="仿宋_GB2312" w:cs="仿宋_GB2312" w:eastAsia="仿宋_GB2312"/>
                      <w:sz w:val="23"/>
                      <w:color w:val="000000"/>
                    </w:rPr>
                    <w:t>后</w:t>
                  </w:r>
                  <w:r>
                    <w:rPr>
                      <w:rFonts w:ascii="仿宋_GB2312" w:hAnsi="仿宋_GB2312" w:cs="仿宋_GB2312" w:eastAsia="仿宋_GB2312"/>
                      <w:sz w:val="23"/>
                      <w:color w:val="000000"/>
                    </w:rPr>
                    <w:t>12</w:t>
                  </w:r>
                  <w:r>
                    <w:rPr>
                      <w:rFonts w:ascii="仿宋_GB2312" w:hAnsi="仿宋_GB2312" w:cs="仿宋_GB2312" w:eastAsia="仿宋_GB2312"/>
                      <w:sz w:val="23"/>
                      <w:color w:val="000000"/>
                    </w:rPr>
                    <w:t>小时，扣</w:t>
                  </w:r>
                  <w:r>
                    <w:rPr>
                      <w:rFonts w:ascii="仿宋_GB2312" w:hAnsi="仿宋_GB2312" w:cs="仿宋_GB2312" w:eastAsia="仿宋_GB2312"/>
                      <w:sz w:val="23"/>
                      <w:color w:val="000000"/>
                    </w:rPr>
                    <w:t>4分；</w:t>
                  </w:r>
                  <w:r>
                    <w:rPr>
                      <w:rFonts w:ascii="仿宋_GB2312" w:hAnsi="仿宋_GB2312" w:cs="仿宋_GB2312" w:eastAsia="仿宋_GB2312"/>
                      <w:sz w:val="23"/>
                      <w:color w:val="000000"/>
                    </w:rPr>
                    <w:t>滞</w:t>
                  </w:r>
                  <w:r>
                    <w:rPr>
                      <w:rFonts w:ascii="仿宋_GB2312" w:hAnsi="仿宋_GB2312" w:cs="仿宋_GB2312" w:eastAsia="仿宋_GB2312"/>
                      <w:sz w:val="23"/>
                      <w:color w:val="000000"/>
                    </w:rPr>
                    <w:t>后</w:t>
                  </w:r>
                  <w:r>
                    <w:rPr>
                      <w:rFonts w:ascii="仿宋_GB2312" w:hAnsi="仿宋_GB2312" w:cs="仿宋_GB2312" w:eastAsia="仿宋_GB2312"/>
                      <w:sz w:val="23"/>
                      <w:color w:val="000000"/>
                    </w:rPr>
                    <w:t>24</w:t>
                  </w:r>
                  <w:r>
                    <w:rPr>
                      <w:rFonts w:ascii="仿宋_GB2312" w:hAnsi="仿宋_GB2312" w:cs="仿宋_GB2312" w:eastAsia="仿宋_GB2312"/>
                      <w:sz w:val="23"/>
                      <w:color w:val="000000"/>
                    </w:rPr>
                    <w:t>小时</w:t>
                  </w:r>
                  <w:r>
                    <w:rPr>
                      <w:rFonts w:ascii="仿宋_GB2312" w:hAnsi="仿宋_GB2312" w:cs="仿宋_GB2312" w:eastAsia="仿宋_GB2312"/>
                      <w:sz w:val="23"/>
                      <w:color w:val="000000"/>
                    </w:rPr>
                    <w:t>，</w:t>
                  </w:r>
                  <w:r>
                    <w:rPr>
                      <w:rFonts w:ascii="仿宋_GB2312" w:hAnsi="仿宋_GB2312" w:cs="仿宋_GB2312" w:eastAsia="仿宋_GB2312"/>
                      <w:sz w:val="23"/>
                      <w:color w:val="000000"/>
                    </w:rPr>
                    <w:t>扣</w:t>
                  </w:r>
                  <w:r>
                    <w:rPr>
                      <w:rFonts w:ascii="仿宋_GB2312" w:hAnsi="仿宋_GB2312" w:cs="仿宋_GB2312" w:eastAsia="仿宋_GB2312"/>
                      <w:sz w:val="23"/>
                      <w:color w:val="000000"/>
                    </w:rPr>
                    <w:t>8分。</w:t>
                  </w:r>
                </w:p>
              </w:tc>
              <w:tc>
                <w:tcPr>
                  <w:tcW w:type="dxa" w:w="243"/>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3"/>
                      <w:color w:val="000000"/>
                    </w:rPr>
                    <w:t>8</w:t>
                  </w:r>
                </w:p>
              </w:tc>
              <w:tc>
                <w:tcPr>
                  <w:tcW w:type="dxa" w:w="248"/>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jc w:val="left"/>
                  </w:pPr>
                </w:p>
              </w:tc>
            </w:tr>
            <w:tr>
              <w:tc>
                <w:tcPr>
                  <w:tcW w:type="dxa" w:w="157"/>
                  <w:tcBorders>
                    <w:top w:val="none" w:color="000000" w:sz="4"/>
                    <w:left w:val="single" w:color="000000" w:sz="4"/>
                    <w:bottom w:val="dotted" w:color="000000" w:sz="4"/>
                    <w:right w:val="dotted"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3"/>
                      <w:color w:val="000000"/>
                    </w:rPr>
                    <w:t>三</w:t>
                  </w:r>
                </w:p>
              </w:tc>
              <w:tc>
                <w:tcPr>
                  <w:tcW w:type="dxa" w:w="1889"/>
                  <w:gridSpan w:val="2"/>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spacing w:before="60"/>
                    <w:ind w:left="2745"/>
                    <w:jc w:val="left"/>
                  </w:pPr>
                  <w:r>
                    <w:rPr>
                      <w:rFonts w:ascii="仿宋_GB2312" w:hAnsi="仿宋_GB2312" w:cs="仿宋_GB2312" w:eastAsia="仿宋_GB2312"/>
                      <w:sz w:val="23"/>
                      <w:color w:val="000000"/>
                    </w:rPr>
                    <w:t>组</w:t>
                  </w:r>
                  <w:r>
                    <w:rPr>
                      <w:rFonts w:ascii="仿宋_GB2312" w:hAnsi="仿宋_GB2312" w:cs="仿宋_GB2312" w:eastAsia="仿宋_GB2312"/>
                      <w:sz w:val="23"/>
                      <w:color w:val="000000"/>
                    </w:rPr>
                    <w:t>织体系</w:t>
                  </w:r>
                </w:p>
              </w:tc>
              <w:tc>
                <w:tcPr>
                  <w:tcW w:type="dxa" w:w="243"/>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spacing w:before="90"/>
                    <w:ind w:left="240"/>
                    <w:jc w:val="left"/>
                  </w:pPr>
                  <w:r>
                    <w:rPr>
                      <w:rFonts w:ascii="仿宋_GB2312" w:hAnsi="仿宋_GB2312" w:cs="仿宋_GB2312" w:eastAsia="仿宋_GB2312"/>
                      <w:sz w:val="23"/>
                      <w:color w:val="000000"/>
                    </w:rPr>
                    <w:t>3</w:t>
                  </w:r>
                  <w:r>
                    <w:rPr>
                      <w:rFonts w:ascii="仿宋_GB2312" w:hAnsi="仿宋_GB2312" w:cs="仿宋_GB2312" w:eastAsia="仿宋_GB2312"/>
                      <w:sz w:val="23"/>
                      <w:color w:val="000000"/>
                    </w:rPr>
                    <w:t>0</w:t>
                  </w:r>
                </w:p>
              </w:tc>
              <w:tc>
                <w:tcPr>
                  <w:tcW w:type="dxa" w:w="248"/>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jc w:val="left"/>
                  </w:pPr>
                </w:p>
              </w:tc>
            </w:tr>
            <w:tr>
              <w:tc>
                <w:tcPr>
                  <w:tcW w:type="dxa" w:w="157"/>
                  <w:tcBorders>
                    <w:top w:val="none" w:color="000000" w:sz="4"/>
                    <w:left w:val="single" w:color="000000" w:sz="4"/>
                    <w:bottom w:val="dotted" w:color="000000" w:sz="4"/>
                    <w:right w:val="dotted"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3"/>
                      <w:color w:val="000000"/>
                    </w:rPr>
                    <w:t>1</w:t>
                  </w:r>
                </w:p>
              </w:tc>
              <w:tc>
                <w:tcPr>
                  <w:tcW w:type="dxa" w:w="974"/>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spacing w:before="60"/>
                    <w:ind w:left="15" w:right="15"/>
                    <w:jc w:val="both"/>
                  </w:pPr>
                  <w:r>
                    <w:rPr>
                      <w:rFonts w:ascii="仿宋_GB2312" w:hAnsi="仿宋_GB2312" w:cs="仿宋_GB2312" w:eastAsia="仿宋_GB2312"/>
                      <w:sz w:val="23"/>
                      <w:color w:val="000000"/>
                    </w:rPr>
                    <w:t>应</w:t>
                  </w:r>
                  <w:r>
                    <w:rPr>
                      <w:rFonts w:ascii="仿宋_GB2312" w:hAnsi="仿宋_GB2312" w:cs="仿宋_GB2312" w:eastAsia="仿宋_GB2312"/>
                      <w:sz w:val="23"/>
                      <w:color w:val="000000"/>
                    </w:rPr>
                    <w:t>成立专职队伍负责运维工作，运</w:t>
                  </w:r>
                  <w:r>
                    <w:rPr>
                      <w:rFonts w:ascii="仿宋_GB2312" w:hAnsi="仿宋_GB2312" w:cs="仿宋_GB2312" w:eastAsia="仿宋_GB2312"/>
                      <w:sz w:val="24"/>
                      <w:color w:val="000000"/>
                    </w:rPr>
                    <w:t>维</w:t>
                  </w:r>
                  <w:r>
                    <w:rPr>
                      <w:rFonts w:ascii="仿宋_GB2312" w:hAnsi="仿宋_GB2312" w:cs="仿宋_GB2312" w:eastAsia="仿宋_GB2312"/>
                      <w:sz w:val="24"/>
                      <w:color w:val="000000"/>
                    </w:rPr>
                    <w:t>人员由技术人员、管理人员组</w:t>
                  </w:r>
                  <w:r>
                    <w:rPr>
                      <w:rFonts w:ascii="仿宋_GB2312" w:hAnsi="仿宋_GB2312" w:cs="仿宋_GB2312" w:eastAsia="仿宋_GB2312"/>
                      <w:sz w:val="24"/>
                      <w:color w:val="000000"/>
                    </w:rPr>
                    <w:t>成，</w:t>
                  </w:r>
                  <w:r>
                    <w:rPr>
                      <w:rFonts w:ascii="仿宋_GB2312" w:hAnsi="仿宋_GB2312" w:cs="仿宋_GB2312" w:eastAsia="仿宋_GB2312"/>
                      <w:sz w:val="24"/>
                      <w:color w:val="000000"/>
                    </w:rPr>
                    <w:t>并</w:t>
                  </w:r>
                  <w:r>
                    <w:rPr>
                      <w:rFonts w:ascii="仿宋_GB2312" w:hAnsi="仿宋_GB2312" w:cs="仿宋_GB2312" w:eastAsia="仿宋_GB2312"/>
                      <w:sz w:val="24"/>
                      <w:color w:val="000000"/>
                    </w:rPr>
                    <w:t>根</w:t>
                  </w:r>
                  <w:r>
                    <w:rPr>
                      <w:rFonts w:ascii="仿宋_GB2312" w:hAnsi="仿宋_GB2312" w:cs="仿宋_GB2312" w:eastAsia="仿宋_GB2312"/>
                      <w:sz w:val="24"/>
                      <w:color w:val="000000"/>
                    </w:rPr>
                    <w:t>据工作内容配备相应的专业技</w:t>
                  </w:r>
                  <w:r>
                    <w:rPr>
                      <w:rFonts w:ascii="仿宋_GB2312" w:hAnsi="仿宋_GB2312" w:cs="仿宋_GB2312" w:eastAsia="仿宋_GB2312"/>
                      <w:sz w:val="24"/>
                      <w:color w:val="000000"/>
                    </w:rPr>
                    <w:t>术人员。</w:t>
                  </w:r>
                </w:p>
              </w:tc>
              <w:tc>
                <w:tcPr>
                  <w:tcW w:type="dxa" w:w="915"/>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3"/>
                      <w:color w:val="000000"/>
                    </w:rPr>
                    <w:t>未</w:t>
                  </w:r>
                  <w:r>
                    <w:rPr>
                      <w:rFonts w:ascii="仿宋_GB2312" w:hAnsi="仿宋_GB2312" w:cs="仿宋_GB2312" w:eastAsia="仿宋_GB2312"/>
                      <w:sz w:val="23"/>
                      <w:color w:val="000000"/>
                    </w:rPr>
                    <w:t>根据工作内容配置相关</w:t>
                  </w:r>
                  <w:r>
                    <w:rPr>
                      <w:rFonts w:ascii="仿宋_GB2312" w:hAnsi="仿宋_GB2312" w:cs="仿宋_GB2312" w:eastAsia="仿宋_GB2312"/>
                      <w:sz w:val="23"/>
                      <w:color w:val="000000"/>
                    </w:rPr>
                    <w:t>人</w:t>
                  </w:r>
                  <w:r>
                    <w:rPr>
                      <w:rFonts w:ascii="仿宋_GB2312" w:hAnsi="仿宋_GB2312" w:cs="仿宋_GB2312" w:eastAsia="仿宋_GB2312"/>
                      <w:sz w:val="23"/>
                      <w:color w:val="000000"/>
                    </w:rPr>
                    <w:t>员</w:t>
                  </w:r>
                  <w:r>
                    <w:rPr>
                      <w:rFonts w:ascii="仿宋_GB2312" w:hAnsi="仿宋_GB2312" w:cs="仿宋_GB2312" w:eastAsia="仿宋_GB2312"/>
                      <w:sz w:val="23"/>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3"/>
                      <w:color w:val="000000"/>
                    </w:rPr>
                    <w:t>扣</w:t>
                  </w:r>
                  <w:r>
                    <w:rPr>
                      <w:rFonts w:ascii="仿宋_GB2312" w:hAnsi="仿宋_GB2312" w:cs="仿宋_GB2312" w:eastAsia="仿宋_GB2312"/>
                      <w:sz w:val="21"/>
                      <w:color w:val="000000"/>
                    </w:rPr>
                    <w:t xml:space="preserve"> </w:t>
                  </w:r>
                  <w:r>
                    <w:rPr>
                      <w:rFonts w:ascii="仿宋_GB2312" w:hAnsi="仿宋_GB2312" w:cs="仿宋_GB2312" w:eastAsia="仿宋_GB2312"/>
                      <w:sz w:val="23"/>
                      <w:color w:val="000000"/>
                    </w:rPr>
                    <w:t>4</w:t>
                  </w:r>
                  <w:r>
                    <w:rPr>
                      <w:rFonts w:ascii="仿宋_GB2312" w:hAnsi="仿宋_GB2312" w:cs="仿宋_GB2312" w:eastAsia="仿宋_GB2312"/>
                      <w:sz w:val="23"/>
                      <w:color w:val="000000"/>
                    </w:rPr>
                    <w:t>分。</w:t>
                  </w:r>
                </w:p>
              </w:tc>
              <w:tc>
                <w:tcPr>
                  <w:tcW w:type="dxa" w:w="243"/>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3"/>
                      <w:color w:val="000000"/>
                    </w:rPr>
                    <w:t>8</w:t>
                  </w:r>
                </w:p>
              </w:tc>
              <w:tc>
                <w:tcPr>
                  <w:tcW w:type="dxa" w:w="248"/>
                  <w:tcBorders>
                    <w:top w:val="dotted" w:color="000000" w:sz="4"/>
                    <w:left w:val="dotted" w:color="000000" w:sz="4"/>
                    <w:bottom w:val="dotted" w:color="000000" w:sz="4"/>
                    <w:right w:val="dotted" w:color="000000" w:sz="4"/>
                  </w:tcBorders>
                  <w:tcMar>
                    <w:top w:type="dxa" w:w="0"/>
                    <w:left w:type="dxa" w:w="0"/>
                    <w:bottom w:type="dxa" w:w="0"/>
                    <w:right w:type="dxa" w:w="0"/>
                  </w:tcMar>
                  <w:vAlign w:val="top"/>
                </w:tcPr>
                <w:p>
                  <w:pPr>
                    <w:pStyle w:val="null3"/>
                    <w:jc w:val="left"/>
                  </w:pPr>
                </w:p>
              </w:tc>
            </w:tr>
            <w:tr>
              <w:tc>
                <w:tcPr>
                  <w:tcW w:type="dxa" w:w="157"/>
                  <w:tcBorders>
                    <w:top w:val="none" w:color="000000" w:sz="4"/>
                    <w:left w:val="single" w:color="000000" w:sz="4"/>
                    <w:bottom w:val="dotted" w:color="000000" w:sz="4"/>
                    <w:right w:val="dotted"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3"/>
                      <w:color w:val="000000"/>
                    </w:rPr>
                    <w:t>2</w:t>
                  </w:r>
                </w:p>
              </w:tc>
              <w:tc>
                <w:tcPr>
                  <w:tcW w:type="dxa" w:w="974"/>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spacing w:before="60"/>
                    <w:ind w:left="15" w:right="15"/>
                    <w:jc w:val="both"/>
                  </w:pPr>
                  <w:r>
                    <w:rPr>
                      <w:rFonts w:ascii="仿宋_GB2312" w:hAnsi="仿宋_GB2312" w:cs="仿宋_GB2312" w:eastAsia="仿宋_GB2312"/>
                      <w:sz w:val="23"/>
                      <w:color w:val="000000"/>
                    </w:rPr>
                    <w:t>根</w:t>
                  </w:r>
                  <w:r>
                    <w:rPr>
                      <w:rFonts w:ascii="仿宋_GB2312" w:hAnsi="仿宋_GB2312" w:cs="仿宋_GB2312" w:eastAsia="仿宋_GB2312"/>
                      <w:sz w:val="23"/>
                      <w:color w:val="000000"/>
                    </w:rPr>
                    <w:t>据实际建立高效的工作模式，合</w:t>
                  </w:r>
                  <w:r>
                    <w:rPr>
                      <w:rFonts w:ascii="仿宋_GB2312" w:hAnsi="仿宋_GB2312" w:cs="仿宋_GB2312" w:eastAsia="仿宋_GB2312"/>
                      <w:sz w:val="23"/>
                      <w:color w:val="000000"/>
                    </w:rPr>
                    <w:t>理</w:t>
                  </w:r>
                  <w:r>
                    <w:rPr>
                      <w:rFonts w:ascii="仿宋_GB2312" w:hAnsi="仿宋_GB2312" w:cs="仿宋_GB2312" w:eastAsia="仿宋_GB2312"/>
                      <w:sz w:val="23"/>
                      <w:color w:val="000000"/>
                    </w:rPr>
                    <w:t>利用资源。应建立</w:t>
                  </w:r>
                  <w:r>
                    <w:rPr>
                      <w:rFonts w:ascii="仿宋_GB2312" w:hAnsi="仿宋_GB2312" w:cs="仿宋_GB2312" w:eastAsia="仿宋_GB2312"/>
                      <w:sz w:val="23"/>
                      <w:color w:val="000000"/>
                    </w:rPr>
                    <w:t>服务</w:t>
                  </w:r>
                  <w:r>
                    <w:rPr>
                      <w:rFonts w:ascii="仿宋_GB2312" w:hAnsi="仿宋_GB2312" w:cs="仿宋_GB2312" w:eastAsia="仿宋_GB2312"/>
                      <w:sz w:val="23"/>
                      <w:color w:val="000000"/>
                    </w:rPr>
                    <w:t>经理、运</w:t>
                  </w:r>
                  <w:r>
                    <w:rPr>
                      <w:rFonts w:ascii="仿宋_GB2312" w:hAnsi="仿宋_GB2312" w:cs="仿宋_GB2312" w:eastAsia="仿宋_GB2312"/>
                      <w:sz w:val="23"/>
                      <w:color w:val="000000"/>
                    </w:rPr>
                    <w:t>维</w:t>
                  </w:r>
                  <w:r>
                    <w:rPr>
                      <w:rFonts w:ascii="仿宋_GB2312" w:hAnsi="仿宋_GB2312" w:cs="仿宋_GB2312" w:eastAsia="仿宋_GB2312"/>
                      <w:sz w:val="23"/>
                      <w:color w:val="000000"/>
                    </w:rPr>
                    <w:t>工程师、运维技术员等技术支持</w:t>
                  </w:r>
                  <w:r>
                    <w:rPr>
                      <w:rFonts w:ascii="仿宋_GB2312" w:hAnsi="仿宋_GB2312" w:cs="仿宋_GB2312" w:eastAsia="仿宋_GB2312"/>
                      <w:sz w:val="23"/>
                      <w:color w:val="000000"/>
                    </w:rPr>
                    <w:t>体</w:t>
                  </w:r>
                  <w:r>
                    <w:rPr>
                      <w:rFonts w:ascii="仿宋_GB2312" w:hAnsi="仿宋_GB2312" w:cs="仿宋_GB2312" w:eastAsia="仿宋_GB2312"/>
                      <w:sz w:val="23"/>
                      <w:color w:val="000000"/>
                    </w:rPr>
                    <w:t>系。</w:t>
                  </w:r>
                </w:p>
              </w:tc>
              <w:tc>
                <w:tcPr>
                  <w:tcW w:type="dxa" w:w="915"/>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spacing w:before="75"/>
                    <w:ind w:right="225"/>
                    <w:jc w:val="both"/>
                  </w:pPr>
                  <w:r>
                    <w:rPr>
                      <w:rFonts w:ascii="仿宋_GB2312" w:hAnsi="仿宋_GB2312" w:cs="仿宋_GB2312" w:eastAsia="仿宋_GB2312"/>
                      <w:sz w:val="23"/>
                      <w:color w:val="000000"/>
                    </w:rPr>
                    <w:t>技术体系不完善扣</w:t>
                  </w:r>
                  <w:r>
                    <w:rPr>
                      <w:rFonts w:ascii="仿宋_GB2312" w:hAnsi="仿宋_GB2312" w:cs="仿宋_GB2312" w:eastAsia="仿宋_GB2312"/>
                      <w:sz w:val="23"/>
                      <w:color w:val="000000"/>
                    </w:rPr>
                    <w:t>3</w:t>
                  </w:r>
                  <w:r>
                    <w:rPr>
                      <w:rFonts w:ascii="仿宋_GB2312" w:hAnsi="仿宋_GB2312" w:cs="仿宋_GB2312" w:eastAsia="仿宋_GB2312"/>
                      <w:sz w:val="23"/>
                      <w:color w:val="000000"/>
                    </w:rPr>
                    <w:t>分</w:t>
                  </w:r>
                  <w:r>
                    <w:rPr>
                      <w:rFonts w:ascii="仿宋_GB2312" w:hAnsi="仿宋_GB2312" w:cs="仿宋_GB2312" w:eastAsia="仿宋_GB2312"/>
                      <w:sz w:val="23"/>
                      <w:color w:val="000000"/>
                    </w:rPr>
                    <w:t>；</w:t>
                  </w:r>
                  <w:r>
                    <w:rPr>
                      <w:rFonts w:ascii="仿宋_GB2312" w:hAnsi="仿宋_GB2312" w:cs="仿宋_GB2312" w:eastAsia="仿宋_GB2312"/>
                      <w:sz w:val="23"/>
                      <w:color w:val="000000"/>
                    </w:rPr>
                    <w:t>缺</w:t>
                  </w:r>
                  <w:r>
                    <w:rPr>
                      <w:rFonts w:ascii="仿宋_GB2312" w:hAnsi="仿宋_GB2312" w:cs="仿宋_GB2312" w:eastAsia="仿宋_GB2312"/>
                      <w:sz w:val="23"/>
                      <w:color w:val="000000"/>
                    </w:rPr>
                    <w:t>失每项扣</w:t>
                  </w:r>
                  <w:r>
                    <w:rPr>
                      <w:rFonts w:ascii="仿宋_GB2312" w:hAnsi="仿宋_GB2312" w:cs="仿宋_GB2312" w:eastAsia="仿宋_GB2312"/>
                      <w:sz w:val="23"/>
                      <w:color w:val="000000"/>
                    </w:rPr>
                    <w:t>2</w:t>
                  </w:r>
                  <w:r>
                    <w:rPr>
                      <w:rFonts w:ascii="仿宋_GB2312" w:hAnsi="仿宋_GB2312" w:cs="仿宋_GB2312" w:eastAsia="仿宋_GB2312"/>
                      <w:sz w:val="23"/>
                      <w:color w:val="000000"/>
                    </w:rPr>
                    <w:t>分。</w:t>
                  </w:r>
                </w:p>
              </w:tc>
              <w:tc>
                <w:tcPr>
                  <w:tcW w:type="dxa" w:w="243"/>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3"/>
                      <w:color w:val="000000"/>
                    </w:rPr>
                    <w:t>6</w:t>
                  </w:r>
                </w:p>
              </w:tc>
              <w:tc>
                <w:tcPr>
                  <w:tcW w:type="dxa" w:w="248"/>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jc w:val="left"/>
                  </w:pPr>
                </w:p>
              </w:tc>
            </w:tr>
            <w:tr>
              <w:tc>
                <w:tcPr>
                  <w:tcW w:type="dxa" w:w="157"/>
                  <w:tcBorders>
                    <w:top w:val="none" w:color="000000" w:sz="4"/>
                    <w:left w:val="single" w:color="000000" w:sz="4"/>
                    <w:bottom w:val="dotted" w:color="000000" w:sz="4"/>
                    <w:right w:val="dotted"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3"/>
                      <w:color w:val="000000"/>
                    </w:rPr>
                    <w:t>3</w:t>
                  </w:r>
                </w:p>
              </w:tc>
              <w:tc>
                <w:tcPr>
                  <w:tcW w:type="dxa" w:w="974"/>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spacing w:before="60"/>
                    <w:ind w:left="15" w:right="15"/>
                    <w:jc w:val="both"/>
                  </w:pPr>
                  <w:r>
                    <w:rPr>
                      <w:rFonts w:ascii="仿宋_GB2312" w:hAnsi="仿宋_GB2312" w:cs="仿宋_GB2312" w:eastAsia="仿宋_GB2312"/>
                      <w:sz w:val="23"/>
                      <w:color w:val="000000"/>
                    </w:rPr>
                    <w:t>运</w:t>
                  </w:r>
                  <w:r>
                    <w:rPr>
                      <w:rFonts w:ascii="仿宋_GB2312" w:hAnsi="仿宋_GB2312" w:cs="仿宋_GB2312" w:eastAsia="仿宋_GB2312"/>
                      <w:sz w:val="23"/>
                      <w:color w:val="000000"/>
                    </w:rPr>
                    <w:t>维公司应进行岗位设计，制定岗</w:t>
                  </w:r>
                  <w:r>
                    <w:rPr>
                      <w:rFonts w:ascii="仿宋_GB2312" w:hAnsi="仿宋_GB2312" w:cs="仿宋_GB2312" w:eastAsia="仿宋_GB2312"/>
                      <w:sz w:val="23"/>
                      <w:color w:val="000000"/>
                    </w:rPr>
                    <w:t>位职责。</w:t>
                  </w:r>
                </w:p>
              </w:tc>
              <w:tc>
                <w:tcPr>
                  <w:tcW w:type="dxa" w:w="915"/>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spacing w:before="60"/>
                    <w:ind w:left="30" w:right="15"/>
                    <w:jc w:val="both"/>
                  </w:pPr>
                  <w:r>
                    <w:rPr>
                      <w:rFonts w:ascii="仿宋_GB2312" w:hAnsi="仿宋_GB2312" w:cs="仿宋_GB2312" w:eastAsia="仿宋_GB2312"/>
                      <w:sz w:val="23"/>
                      <w:color w:val="000000"/>
                    </w:rPr>
                    <w:t>无岗位设计和岗位职责扣</w:t>
                  </w:r>
                  <w:r>
                    <w:rPr>
                      <w:rFonts w:ascii="仿宋_GB2312" w:hAnsi="仿宋_GB2312" w:cs="仿宋_GB2312" w:eastAsia="仿宋_GB2312"/>
                      <w:sz w:val="23"/>
                      <w:color w:val="000000"/>
                    </w:rPr>
                    <w:t>4</w:t>
                  </w:r>
                  <w:r>
                    <w:rPr>
                      <w:rFonts w:ascii="仿宋_GB2312" w:hAnsi="仿宋_GB2312" w:cs="仿宋_GB2312" w:eastAsia="仿宋_GB2312"/>
                      <w:sz w:val="21"/>
                      <w:color w:val="000000"/>
                    </w:rPr>
                    <w:t xml:space="preserve"> </w:t>
                  </w:r>
                  <w:r>
                    <w:rPr>
                      <w:rFonts w:ascii="仿宋_GB2312" w:hAnsi="仿宋_GB2312" w:cs="仿宋_GB2312" w:eastAsia="仿宋_GB2312"/>
                      <w:sz w:val="23"/>
                      <w:color w:val="000000"/>
                    </w:rPr>
                    <w:t>分</w:t>
                  </w:r>
                  <w:r>
                    <w:rPr>
                      <w:rFonts w:ascii="仿宋_GB2312" w:hAnsi="仿宋_GB2312" w:cs="仿宋_GB2312" w:eastAsia="仿宋_GB2312"/>
                      <w:sz w:val="23"/>
                      <w:color w:val="000000"/>
                    </w:rPr>
                    <w:t>；缺失每项扣</w:t>
                  </w:r>
                  <w:r>
                    <w:rPr>
                      <w:rFonts w:ascii="仿宋_GB2312" w:hAnsi="仿宋_GB2312" w:cs="仿宋_GB2312" w:eastAsia="仿宋_GB2312"/>
                      <w:sz w:val="23"/>
                      <w:color w:val="000000"/>
                    </w:rPr>
                    <w:t>2分。</w:t>
                  </w:r>
                </w:p>
              </w:tc>
              <w:tc>
                <w:tcPr>
                  <w:tcW w:type="dxa" w:w="243"/>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spacing w:before="300"/>
                    <w:ind w:left="300"/>
                    <w:jc w:val="left"/>
                  </w:pPr>
                  <w:r>
                    <w:rPr>
                      <w:rFonts w:ascii="仿宋_GB2312" w:hAnsi="仿宋_GB2312" w:cs="仿宋_GB2312" w:eastAsia="仿宋_GB2312"/>
                      <w:sz w:val="23"/>
                      <w:color w:val="000000"/>
                    </w:rPr>
                    <w:t>4</w:t>
                  </w:r>
                </w:p>
              </w:tc>
              <w:tc>
                <w:tcPr>
                  <w:tcW w:type="dxa" w:w="248"/>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jc w:val="left"/>
                  </w:pPr>
                </w:p>
              </w:tc>
            </w:tr>
            <w:tr>
              <w:tc>
                <w:tcPr>
                  <w:tcW w:type="dxa" w:w="157"/>
                  <w:tcBorders>
                    <w:top w:val="none" w:color="000000" w:sz="4"/>
                    <w:left w:val="single" w:color="000000" w:sz="4"/>
                    <w:bottom w:val="dotted" w:color="000000" w:sz="4"/>
                    <w:right w:val="dotted"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3"/>
                      <w:color w:val="000000"/>
                    </w:rPr>
                    <w:t>4</w:t>
                  </w:r>
                </w:p>
              </w:tc>
              <w:tc>
                <w:tcPr>
                  <w:tcW w:type="dxa" w:w="974"/>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spacing w:before="60"/>
                    <w:ind w:left="15" w:right="15"/>
                    <w:jc w:val="both"/>
                  </w:pPr>
                  <w:r>
                    <w:rPr>
                      <w:rFonts w:ascii="仿宋_GB2312" w:hAnsi="仿宋_GB2312" w:cs="仿宋_GB2312" w:eastAsia="仿宋_GB2312"/>
                      <w:sz w:val="23"/>
                      <w:color w:val="000000"/>
                    </w:rPr>
                    <w:t>运</w:t>
                  </w:r>
                  <w:r>
                    <w:rPr>
                      <w:rFonts w:ascii="仿宋_GB2312" w:hAnsi="仿宋_GB2312" w:cs="仿宋_GB2312" w:eastAsia="仿宋_GB2312"/>
                      <w:sz w:val="23"/>
                      <w:color w:val="000000"/>
                    </w:rPr>
                    <w:t>维技术人员应具备信息技术基</w:t>
                  </w:r>
                  <w:r>
                    <w:rPr>
                      <w:rFonts w:ascii="仿宋_GB2312" w:hAnsi="仿宋_GB2312" w:cs="仿宋_GB2312" w:eastAsia="仿宋_GB2312"/>
                      <w:sz w:val="23"/>
                      <w:color w:val="000000"/>
                    </w:rPr>
                    <w:t>础</w:t>
                  </w:r>
                  <w:r>
                    <w:rPr>
                      <w:rFonts w:ascii="仿宋_GB2312" w:hAnsi="仿宋_GB2312" w:cs="仿宋_GB2312" w:eastAsia="仿宋_GB2312"/>
                      <w:sz w:val="23"/>
                      <w:color w:val="000000"/>
                    </w:rPr>
                    <w:t>知</w:t>
                  </w:r>
                  <w:r>
                    <w:rPr>
                      <w:rFonts w:ascii="仿宋_GB2312" w:hAnsi="仿宋_GB2312" w:cs="仿宋_GB2312" w:eastAsia="仿宋_GB2312"/>
                      <w:sz w:val="23"/>
                      <w:color w:val="000000"/>
                    </w:rPr>
                    <w:t>识、运维岗位所需的专业知识</w:t>
                  </w:r>
                  <w:r>
                    <w:rPr>
                      <w:rFonts w:ascii="仿宋_GB2312" w:hAnsi="仿宋_GB2312" w:cs="仿宋_GB2312" w:eastAsia="仿宋_GB2312"/>
                      <w:sz w:val="23"/>
                      <w:color w:val="000000"/>
                    </w:rPr>
                    <w:t>及</w:t>
                  </w:r>
                  <w:r>
                    <w:rPr>
                      <w:rFonts w:ascii="仿宋_GB2312" w:hAnsi="仿宋_GB2312" w:cs="仿宋_GB2312" w:eastAsia="仿宋_GB2312"/>
                      <w:sz w:val="23"/>
                      <w:color w:val="000000"/>
                    </w:rPr>
                    <w:t>信息系统所支撑业务的相关业</w:t>
                  </w:r>
                  <w:r>
                    <w:rPr>
                      <w:rFonts w:ascii="仿宋_GB2312" w:hAnsi="仿宋_GB2312" w:cs="仿宋_GB2312" w:eastAsia="仿宋_GB2312"/>
                      <w:sz w:val="23"/>
                      <w:color w:val="000000"/>
                    </w:rPr>
                    <w:t>务</w:t>
                  </w:r>
                  <w:r>
                    <w:rPr>
                      <w:rFonts w:ascii="仿宋_GB2312" w:hAnsi="仿宋_GB2312" w:cs="仿宋_GB2312" w:eastAsia="仿宋_GB2312"/>
                      <w:sz w:val="23"/>
                      <w:color w:val="000000"/>
                    </w:rPr>
                    <w:t>知识，并具有专业技能资质证</w:t>
                  </w:r>
                  <w:r>
                    <w:rPr>
                      <w:rFonts w:ascii="仿宋_GB2312" w:hAnsi="仿宋_GB2312" w:cs="仿宋_GB2312" w:eastAsia="仿宋_GB2312"/>
                      <w:sz w:val="23"/>
                      <w:color w:val="000000"/>
                    </w:rPr>
                    <w:t>书</w:t>
                  </w:r>
                  <w:r>
                    <w:rPr>
                      <w:rFonts w:ascii="仿宋_GB2312" w:hAnsi="仿宋_GB2312" w:cs="仿宋_GB2312" w:eastAsia="仿宋_GB2312"/>
                      <w:sz w:val="23"/>
                      <w:color w:val="000000"/>
                    </w:rPr>
                    <w:t>。</w:t>
                  </w:r>
                </w:p>
              </w:tc>
              <w:tc>
                <w:tcPr>
                  <w:tcW w:type="dxa" w:w="915"/>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spacing w:before="270"/>
                    <w:ind w:left="30" w:right="15"/>
                    <w:jc w:val="both"/>
                  </w:pPr>
                  <w:r>
                    <w:rPr>
                      <w:rFonts w:ascii="仿宋_GB2312" w:hAnsi="仿宋_GB2312" w:cs="仿宋_GB2312" w:eastAsia="仿宋_GB2312"/>
                      <w:sz w:val="23"/>
                      <w:color w:val="000000"/>
                    </w:rPr>
                    <w:t>未</w:t>
                  </w:r>
                  <w:r>
                    <w:rPr>
                      <w:rFonts w:ascii="仿宋_GB2312" w:hAnsi="仿宋_GB2312" w:cs="仿宋_GB2312" w:eastAsia="仿宋_GB2312"/>
                      <w:sz w:val="23"/>
                      <w:color w:val="000000"/>
                    </w:rPr>
                    <w:t>配置相应业务知识人员</w:t>
                  </w:r>
                  <w:r>
                    <w:rPr>
                      <w:rFonts w:ascii="仿宋_GB2312" w:hAnsi="仿宋_GB2312" w:cs="仿宋_GB2312" w:eastAsia="仿宋_GB2312"/>
                      <w:sz w:val="21"/>
                      <w:color w:val="000000"/>
                    </w:rPr>
                    <w:t xml:space="preserve">  </w:t>
                  </w:r>
                  <w:r>
                    <w:rPr>
                      <w:rFonts w:ascii="仿宋_GB2312" w:hAnsi="仿宋_GB2312" w:cs="仿宋_GB2312" w:eastAsia="仿宋_GB2312"/>
                      <w:sz w:val="23"/>
                      <w:color w:val="000000"/>
                    </w:rPr>
                    <w:t>(或未持证上岗</w:t>
                  </w:r>
                  <w:r>
                    <w:rPr>
                      <w:rFonts w:ascii="仿宋_GB2312" w:hAnsi="仿宋_GB2312" w:cs="仿宋_GB2312" w:eastAsia="仿宋_GB2312"/>
                      <w:sz w:val="23"/>
                      <w:color w:val="000000"/>
                    </w:rPr>
                    <w:t>)，每人扣</w:t>
                  </w:r>
                  <w:r>
                    <w:rPr>
                      <w:rFonts w:ascii="仿宋_GB2312" w:hAnsi="仿宋_GB2312" w:cs="仿宋_GB2312" w:eastAsia="仿宋_GB2312"/>
                      <w:sz w:val="21"/>
                      <w:color w:val="000000"/>
                    </w:rPr>
                    <w:t xml:space="preserve"> </w:t>
                  </w:r>
                  <w:r>
                    <w:rPr>
                      <w:rFonts w:ascii="仿宋_GB2312" w:hAnsi="仿宋_GB2312" w:cs="仿宋_GB2312" w:eastAsia="仿宋_GB2312"/>
                      <w:sz w:val="23"/>
                      <w:color w:val="000000"/>
                    </w:rPr>
                    <w:t>2</w:t>
                  </w:r>
                  <w:r>
                    <w:rPr>
                      <w:rFonts w:ascii="仿宋_GB2312" w:hAnsi="仿宋_GB2312" w:cs="仿宋_GB2312" w:eastAsia="仿宋_GB2312"/>
                      <w:sz w:val="23"/>
                      <w:color w:val="000000"/>
                    </w:rPr>
                    <w:t xml:space="preserve"> </w:t>
                  </w:r>
                  <w:r>
                    <w:rPr>
                      <w:rFonts w:ascii="仿宋_GB2312" w:hAnsi="仿宋_GB2312" w:cs="仿宋_GB2312" w:eastAsia="仿宋_GB2312"/>
                      <w:sz w:val="23"/>
                      <w:color w:val="000000"/>
                    </w:rPr>
                    <w:t>分。</w:t>
                  </w:r>
                </w:p>
              </w:tc>
              <w:tc>
                <w:tcPr>
                  <w:tcW w:type="dxa" w:w="243"/>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3"/>
                      <w:color w:val="000000"/>
                    </w:rPr>
                    <w:t>6</w:t>
                  </w:r>
                </w:p>
              </w:tc>
              <w:tc>
                <w:tcPr>
                  <w:tcW w:type="dxa" w:w="248"/>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jc w:val="left"/>
                  </w:pPr>
                </w:p>
              </w:tc>
            </w:tr>
            <w:tr>
              <w:tc>
                <w:tcPr>
                  <w:tcW w:type="dxa" w:w="157"/>
                  <w:tcBorders>
                    <w:top w:val="none" w:color="000000" w:sz="4"/>
                    <w:left w:val="single" w:color="000000" w:sz="4"/>
                    <w:bottom w:val="dotted" w:color="000000" w:sz="4"/>
                    <w:right w:val="dotted"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3"/>
                      <w:color w:val="000000"/>
                    </w:rPr>
                    <w:t>5</w:t>
                  </w:r>
                </w:p>
              </w:tc>
              <w:tc>
                <w:tcPr>
                  <w:tcW w:type="dxa" w:w="974"/>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spacing w:before="45"/>
                    <w:ind w:left="15" w:right="15"/>
                    <w:jc w:val="both"/>
                  </w:pPr>
                  <w:r>
                    <w:rPr>
                      <w:rFonts w:ascii="仿宋_GB2312" w:hAnsi="仿宋_GB2312" w:cs="仿宋_GB2312" w:eastAsia="仿宋_GB2312"/>
                      <w:sz w:val="23"/>
                      <w:color w:val="000000"/>
                    </w:rPr>
                    <w:t>应</w:t>
                  </w:r>
                  <w:r>
                    <w:rPr>
                      <w:rFonts w:ascii="仿宋_GB2312" w:hAnsi="仿宋_GB2312" w:cs="仿宋_GB2312" w:eastAsia="仿宋_GB2312"/>
                      <w:sz w:val="23"/>
                      <w:color w:val="000000"/>
                    </w:rPr>
                    <w:t>建立应急预案</w:t>
                  </w:r>
                  <w:r>
                    <w:rPr>
                      <w:rFonts w:ascii="仿宋_GB2312" w:hAnsi="仿宋_GB2312" w:cs="仿宋_GB2312" w:eastAsia="仿宋_GB2312"/>
                      <w:sz w:val="23"/>
                      <w:color w:val="000000"/>
                    </w:rPr>
                    <w:t>、</w:t>
                  </w:r>
                  <w:r>
                    <w:rPr>
                      <w:rFonts w:ascii="仿宋_GB2312" w:hAnsi="仿宋_GB2312" w:cs="仿宋_GB2312" w:eastAsia="仿宋_GB2312"/>
                      <w:sz w:val="23"/>
                      <w:color w:val="000000"/>
                    </w:rPr>
                    <w:t>技</w:t>
                  </w:r>
                  <w:r>
                    <w:rPr>
                      <w:rFonts w:ascii="仿宋_GB2312" w:hAnsi="仿宋_GB2312" w:cs="仿宋_GB2312" w:eastAsia="仿宋_GB2312"/>
                      <w:sz w:val="23"/>
                      <w:color w:val="000000"/>
                    </w:rPr>
                    <w:t>术资料档案等；应对信息系统运</w:t>
                  </w:r>
                  <w:r>
                    <w:rPr>
                      <w:rFonts w:ascii="仿宋_GB2312" w:hAnsi="仿宋_GB2312" w:cs="仿宋_GB2312" w:eastAsia="仿宋_GB2312"/>
                      <w:sz w:val="23"/>
                      <w:color w:val="000000"/>
                    </w:rPr>
                    <w:t>行</w:t>
                  </w:r>
                  <w:r>
                    <w:rPr>
                      <w:rFonts w:ascii="仿宋_GB2312" w:hAnsi="仿宋_GB2312" w:cs="仿宋_GB2312" w:eastAsia="仿宋_GB2312"/>
                      <w:sz w:val="23"/>
                      <w:color w:val="000000"/>
                    </w:rPr>
                    <w:t>状况、运维过程进行记录，并整理形成系统运行资料</w:t>
                  </w:r>
                  <w:r>
                    <w:rPr>
                      <w:rFonts w:ascii="仿宋_GB2312" w:hAnsi="仿宋_GB2312" w:cs="仿宋_GB2312" w:eastAsia="仿宋_GB2312"/>
                      <w:sz w:val="23"/>
                      <w:color w:val="000000"/>
                    </w:rPr>
                    <w:t>。</w:t>
                  </w:r>
                </w:p>
              </w:tc>
              <w:tc>
                <w:tcPr>
                  <w:tcW w:type="dxa" w:w="915"/>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spacing w:before="255"/>
                    <w:ind w:left="30" w:right="15"/>
                    <w:jc w:val="both"/>
                  </w:pPr>
                  <w:r>
                    <w:rPr>
                      <w:rFonts w:ascii="仿宋_GB2312" w:hAnsi="仿宋_GB2312" w:cs="仿宋_GB2312" w:eastAsia="仿宋_GB2312"/>
                      <w:sz w:val="23"/>
                      <w:color w:val="000000"/>
                    </w:rPr>
                    <w:t>未建立上述清单档案扣</w:t>
                  </w:r>
                  <w:r>
                    <w:rPr>
                      <w:rFonts w:ascii="仿宋_GB2312" w:hAnsi="仿宋_GB2312" w:cs="仿宋_GB2312" w:eastAsia="仿宋_GB2312"/>
                      <w:sz w:val="23"/>
                      <w:color w:val="000000"/>
                    </w:rPr>
                    <w:t>3</w:t>
                  </w:r>
                  <w:r>
                    <w:rPr>
                      <w:rFonts w:ascii="仿宋_GB2312" w:hAnsi="仿宋_GB2312" w:cs="仿宋_GB2312" w:eastAsia="仿宋_GB2312"/>
                      <w:sz w:val="23"/>
                      <w:color w:val="000000"/>
                    </w:rPr>
                    <w:t>分</w:t>
                  </w:r>
                  <w:r>
                    <w:rPr>
                      <w:rFonts w:ascii="仿宋_GB2312" w:hAnsi="仿宋_GB2312" w:cs="仿宋_GB2312" w:eastAsia="仿宋_GB2312"/>
                      <w:sz w:val="23"/>
                      <w:color w:val="000000"/>
                    </w:rPr>
                    <w:t>；</w:t>
                  </w:r>
                  <w:r>
                    <w:rPr>
                      <w:rFonts w:ascii="仿宋_GB2312" w:hAnsi="仿宋_GB2312" w:cs="仿宋_GB2312" w:eastAsia="仿宋_GB2312"/>
                      <w:sz w:val="23"/>
                      <w:color w:val="000000"/>
                    </w:rPr>
                    <w:t>未形成系统运行资料扣</w:t>
                  </w:r>
                  <w:r>
                    <w:rPr>
                      <w:rFonts w:ascii="仿宋_GB2312" w:hAnsi="仿宋_GB2312" w:cs="仿宋_GB2312" w:eastAsia="仿宋_GB2312"/>
                      <w:sz w:val="23"/>
                      <w:color w:val="000000"/>
                    </w:rPr>
                    <w:t>2</w:t>
                  </w:r>
                  <w:r>
                    <w:rPr>
                      <w:rFonts w:ascii="仿宋_GB2312" w:hAnsi="仿宋_GB2312" w:cs="仿宋_GB2312" w:eastAsia="仿宋_GB2312"/>
                      <w:sz w:val="23"/>
                      <w:color w:val="000000"/>
                    </w:rPr>
                    <w:t>分。</w:t>
                  </w:r>
                </w:p>
              </w:tc>
              <w:tc>
                <w:tcPr>
                  <w:tcW w:type="dxa" w:w="243"/>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3"/>
                      <w:color w:val="000000"/>
                    </w:rPr>
                    <w:t>6</w:t>
                  </w:r>
                </w:p>
              </w:tc>
              <w:tc>
                <w:tcPr>
                  <w:tcW w:type="dxa" w:w="248"/>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jc w:val="left"/>
                  </w:pPr>
                </w:p>
              </w:tc>
            </w:tr>
            <w:tr>
              <w:tc>
                <w:tcPr>
                  <w:tcW w:type="dxa" w:w="2046"/>
                  <w:gridSpan w:val="3"/>
                  <w:tcBorders>
                    <w:top w:val="none" w:color="000000" w:sz="4"/>
                    <w:left w:val="single" w:color="000000" w:sz="4"/>
                    <w:bottom w:val="dotted" w:color="000000" w:sz="4"/>
                    <w:right w:val="dotted"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3"/>
                      <w:color w:val="000000"/>
                    </w:rPr>
                    <w:t>合</w:t>
                  </w:r>
                  <w:r>
                    <w:rPr>
                      <w:rFonts w:ascii="仿宋_GB2312" w:hAnsi="仿宋_GB2312" w:cs="仿宋_GB2312" w:eastAsia="仿宋_GB2312"/>
                      <w:sz w:val="23"/>
                      <w:color w:val="000000"/>
                    </w:rPr>
                    <w:t>计</w:t>
                  </w:r>
                </w:p>
              </w:tc>
              <w:tc>
                <w:tcPr>
                  <w:tcW w:type="dxa" w:w="243"/>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spacing w:before="120"/>
                    <w:ind w:left="195"/>
                    <w:jc w:val="left"/>
                  </w:pPr>
                  <w:r>
                    <w:rPr>
                      <w:rFonts w:ascii="仿宋_GB2312" w:hAnsi="仿宋_GB2312" w:cs="仿宋_GB2312" w:eastAsia="仿宋_GB2312"/>
                      <w:sz w:val="23"/>
                      <w:color w:val="000000"/>
                    </w:rPr>
                    <w:t>1</w:t>
                  </w:r>
                  <w:r>
                    <w:rPr>
                      <w:rFonts w:ascii="仿宋_GB2312" w:hAnsi="仿宋_GB2312" w:cs="仿宋_GB2312" w:eastAsia="仿宋_GB2312"/>
                      <w:sz w:val="23"/>
                      <w:color w:val="000000"/>
                    </w:rPr>
                    <w:t>00</w:t>
                  </w:r>
                </w:p>
              </w:tc>
              <w:tc>
                <w:tcPr>
                  <w:tcW w:type="dxa" w:w="248"/>
                  <w:tcBorders>
                    <w:top w:val="none" w:color="000000" w:sz="4"/>
                    <w:left w:val="dotted" w:color="000000" w:sz="4"/>
                    <w:bottom w:val="dotted" w:color="000000" w:sz="4"/>
                    <w:right w:val="dotted" w:color="000000" w:sz="4"/>
                  </w:tcBorders>
                  <w:tcMar>
                    <w:top w:type="dxa" w:w="0"/>
                    <w:left w:type="dxa" w:w="0"/>
                    <w:bottom w:type="dxa" w:w="0"/>
                    <w:right w:type="dxa" w:w="0"/>
                  </w:tcMar>
                  <w:vAlign w:val="top"/>
                </w:tcPr>
                <w:p>
                  <w:pPr>
                    <w:pStyle w:val="null3"/>
                    <w:jc w:val="left"/>
                  </w:pPr>
                </w:p>
              </w:tc>
            </w:tr>
          </w:tbl>
          <w:p>
            <w:pPr>
              <w:pStyle w:val="null3"/>
            </w:pPr>
            <w:r>
              <w:rPr>
                <w:rFonts w:ascii="仿宋_GB2312" w:hAnsi="仿宋_GB2312" w:cs="仿宋_GB2312" w:eastAsia="仿宋_GB2312"/>
                <w:sz w:val="32"/>
                <w:b/>
                <w:color w:val="000000"/>
              </w:rPr>
              <w:t>六、服务期限</w:t>
            </w:r>
          </w:p>
          <w:p>
            <w:pPr>
              <w:pStyle w:val="null3"/>
              <w:spacing w:before="135"/>
              <w:ind w:left="195" w:right="285" w:firstLine="445"/>
              <w:jc w:val="both"/>
            </w:pPr>
            <w:r>
              <w:rPr>
                <w:rFonts w:ascii="仿宋_GB2312" w:hAnsi="仿宋_GB2312" w:cs="仿宋_GB2312" w:eastAsia="仿宋_GB2312"/>
                <w:sz w:val="28"/>
                <w:color w:val="000000"/>
              </w:rPr>
              <w:t>运维服务期限自用户签定合同之日起一年。</w:t>
            </w:r>
          </w:p>
          <w:p>
            <w:pPr>
              <w:pStyle w:val="null3"/>
              <w:spacing w:before="75"/>
              <w:ind w:left="195"/>
            </w:pPr>
            <w:r>
              <w:rPr>
                <w:rFonts w:ascii="仿宋_GB2312" w:hAnsi="仿宋_GB2312" w:cs="仿宋_GB2312" w:eastAsia="仿宋_GB2312"/>
                <w:sz w:val="32"/>
                <w:b/>
                <w:color w:val="000000"/>
              </w:rPr>
              <w:t>七、付款方式</w:t>
            </w:r>
          </w:p>
          <w:p>
            <w:pPr>
              <w:pStyle w:val="null3"/>
              <w:spacing w:before="135"/>
              <w:ind w:left="195" w:right="285" w:firstLine="445"/>
              <w:jc w:val="both"/>
            </w:pPr>
            <w:r>
              <w:rPr>
                <w:rFonts w:ascii="仿宋_GB2312" w:hAnsi="仿宋_GB2312" w:cs="仿宋_GB2312" w:eastAsia="仿宋_GB2312"/>
                <w:sz w:val="28"/>
                <w:color w:val="000000"/>
              </w:rPr>
              <w:t>合同签订后支付合同总金额的</w:t>
            </w:r>
            <w:r>
              <w:rPr>
                <w:rFonts w:ascii="仿宋_GB2312" w:hAnsi="仿宋_GB2312" w:cs="仿宋_GB2312" w:eastAsia="仿宋_GB2312"/>
                <w:sz w:val="28"/>
                <w:color w:val="000000"/>
              </w:rPr>
              <w:t>80%，服务期满经甲乙双方结算，且乙方向甲方开具对应金额正规发票后，甲方按照政府的支付流程一次性支付剩余20%款项。</w:t>
            </w:r>
          </w:p>
          <w:p>
            <w:pPr>
              <w:pStyle w:val="null3"/>
              <w:jc w:val="left"/>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满足磋商文件采购内容及采购人需求。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满足磋商文件采购内容及采购人需求。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运维服务期限自签定合同之日起一年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满足相关技术规范、服务合同及采购人要求。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服务期满经甲乙双方结算，且乙方向甲方开具对应金额正规发票后，甲方按照政府的支付流程</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合同执行中发生争议的，当事人双方应协解决。协商达不成一致时，可向同级行政仲裁机关申请仲裁。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（1）服务期：运维服务期限自签定合同之日起一年；（2）服务地点：采购人指定地点。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供应商是法人或其他 组织的应提供营业执 照等证明文件</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 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供应商提供具有财务审计资质单位出具的2024年度财务报告或磋商前六个月内其基本账 户银行出具的资信证明或政府采购信用担保机构出具的磋商担保函；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税收交纳证明</w:t>
            </w:r>
          </w:p>
        </w:tc>
        <w:tc>
          <w:tcPr>
            <w:tcW w:type="dxa" w:w="3322"/>
          </w:tcPr>
          <w:p>
            <w:pPr>
              <w:pStyle w:val="null3"/>
            </w:pPr>
            <w:r>
              <w:rPr>
                <w:rFonts w:ascii="仿宋_GB2312" w:hAnsi="仿宋_GB2312" w:cs="仿宋_GB2312" w:eastAsia="仿宋_GB2312"/>
              </w:rPr>
              <w:t>供应商提供截止至磋商时间前六个月内任意二个月的缴费凭据；（依法免税的供应商应提 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社会保障资金交纳证 明</w:t>
            </w:r>
          </w:p>
        </w:tc>
        <w:tc>
          <w:tcPr>
            <w:tcW w:type="dxa" w:w="3322"/>
          </w:tcPr>
          <w:p>
            <w:pPr>
              <w:pStyle w:val="null3"/>
            </w:pPr>
            <w:r>
              <w:rPr>
                <w:rFonts w:ascii="仿宋_GB2312" w:hAnsi="仿宋_GB2312" w:cs="仿宋_GB2312" w:eastAsia="仿宋_GB2312"/>
              </w:rPr>
              <w:t>供应商提供截止至磋商时间前六个月内任意二个月的社保缴费凭据或社保机构开具的社会 保险参保缴费情况证明；（依法不需要交纳社会保障资金的供应商应提供相关证明）；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承诺、说明及书面声 明</w:t>
            </w:r>
          </w:p>
        </w:tc>
        <w:tc>
          <w:tcPr>
            <w:tcW w:type="dxa" w:w="3322"/>
          </w:tcPr>
          <w:p>
            <w:pPr>
              <w:pStyle w:val="null3"/>
            </w:pPr>
            <w:r>
              <w:rPr>
                <w:rFonts w:ascii="仿宋_GB2312" w:hAnsi="仿宋_GB2312" w:cs="仿宋_GB2312" w:eastAsia="仿宋_GB2312"/>
              </w:rPr>
              <w:t>1、提供具有履行本合同所必需的设备和专业技术能力的说明及承诺； 2、提供参加政府 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 法定代表人身份证明</w:t>
            </w:r>
          </w:p>
        </w:tc>
        <w:tc>
          <w:tcPr>
            <w:tcW w:type="dxa" w:w="3322"/>
          </w:tcPr>
          <w:p>
            <w:pPr>
              <w:pStyle w:val="null3"/>
            </w:pPr>
            <w:r>
              <w:rPr>
                <w:rFonts w:ascii="仿宋_GB2312" w:hAnsi="仿宋_GB2312" w:cs="仿宋_GB2312" w:eastAsia="仿宋_GB2312"/>
              </w:rPr>
              <w:t>法定代表人参与磋商时需提供法定代表人身份证明；被授权人参与磋商时需提供法定 代 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供应商不得为“信用中国(www.creditchina.gov.cn)”中列入失信被执行人名单的供应商 ，不得为“中国政府采购网(www.ccgp.gov.cn)”政府采购严重违法失信行为记录名单中 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符合“磋商响应文件格式”的要求:按竞争性磋商交件规定格式 填报了所有相关数据，字迹清晰可辨，并符合竞争性磋商文件 其他规定。</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报价表 响应文件封面 法定代表人身份证明及授权委托书.docx 残疾人福利性单位声明函 服务方案 标的清单 其他资料.docx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响应文件签字及盖章</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报价表 响应文件封面 法定代表人身份证明及授权委托书.docx 残疾人福利性单位声明函 服务方案 标的清单 其他资料.docx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 服务方案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能有一个有效报价，不得提交选择性报价， 且报价不超过采 购预算金额或最高限价。</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响应文件的完整性</w:t>
            </w:r>
          </w:p>
        </w:tc>
        <w:tc>
          <w:tcPr>
            <w:tcW w:type="dxa" w:w="3322"/>
          </w:tcPr>
          <w:p>
            <w:pPr>
              <w:pStyle w:val="null3"/>
            </w:pPr>
            <w:r>
              <w:rPr>
                <w:rFonts w:ascii="仿宋_GB2312" w:hAnsi="仿宋_GB2312" w:cs="仿宋_GB2312" w:eastAsia="仿宋_GB2312"/>
              </w:rPr>
              <w:t>响应文件构成是否有重大缺项，是否按照磋商文件要求的格式 编写投标文件。</w:t>
            </w:r>
          </w:p>
        </w:tc>
        <w:tc>
          <w:tcPr>
            <w:tcW w:type="dxa" w:w="1661"/>
          </w:tcPr>
          <w:p>
            <w:pPr>
              <w:pStyle w:val="null3"/>
            </w:pPr>
            <w:r>
              <w:rPr>
                <w:rFonts w:ascii="仿宋_GB2312" w:hAnsi="仿宋_GB2312" w:cs="仿宋_GB2312" w:eastAsia="仿宋_GB2312"/>
              </w:rPr>
              <w:t>服务内容及服务邀请应答表 商务应答表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针对本项目提供具体可行的服务质量方 案，包括但不限于①需求理解；②技术 优化更新方案；③组织管理总体方案， ④质量保障方案⑤日常维护服务方案⑥ 实施进度安排方案⑦安全保障体系。评 审标准 1、完整性：方案必须全面，对 评审内容中的各项要求有详细描述； 2 、可实施性：切合本项目实际情况，提 出步骤清晰、合理的方案； 3、针对性 ：方案能够紧扣项目实际情况，内容科 学合理符合本项目采购需求，能保障本 项目实施得28分（每项4分）；评审内 容每缺一项扣4分，评审内容有缺陷未 完全响应评审标准的每项缺陷扣0.1-3.9 分，扣完为止。 (“缺陷”是指：内容描 述过于简单没有关键点；条理不清晰； 与项目内容不匹配、非专门针对本项目 或不适用本项目特性；凭空编造，存在 逻辑漏洞，出现常识性错误；不可能实 现的夸大情形、存在不适用项目实际情 况的情形等。</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供应商针对本项目提出应急预案内容符 合采本项目实际需求且详细完善，涵盖 了可能出现的各类突发事件（如电网故 障、备份恢复、紧急排险、特殊时段服 务等）；评审标准： （1）方案完整（ 2）对事件的应急响应流程、责任分工 、应急资源调配等方面有明确规定（3 ）针对性及科学合理得5分。满足评审 内容有缺陷未完全响应评审标准的每项 缺陷扣0.1-4.9分，扣完为止。 (“缺陷” 是指：内容描述过于简单没有关键点； 条理不清晰；与项目内容不匹配、非专 门针对本项目或不适用本项目特性；凭 空编造，存在逻辑漏洞，出现常识性错 误；不可能实现的夸大情形、存在不适 用项目实际情况的情形等。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维护服务</w:t>
            </w:r>
          </w:p>
        </w:tc>
        <w:tc>
          <w:tcPr>
            <w:tcW w:type="dxa" w:w="2492"/>
          </w:tcPr>
          <w:p>
            <w:pPr>
              <w:pStyle w:val="null3"/>
            </w:pPr>
            <w:r>
              <w:rPr>
                <w:rFonts w:ascii="仿宋_GB2312" w:hAnsi="仿宋_GB2312" w:cs="仿宋_GB2312" w:eastAsia="仿宋_GB2312"/>
              </w:rPr>
              <w:t>供应商针对本项目提供详细维护服 务措施以及维护期外的技术支持， 包括但不限于①后期服务范围及保障措 施②服务流程③服务响应时间 及响应方式；评审标准 1、完整性：方 案必须全面，对评审内容中的各项要求 有详细描述； 2、可实施性：切合本项 目实际情况，提出步骤清晰、合理的方 案； 3、针对性：方案能够紧扣项目实 际情况，内容科学合理得9分（每项3分 ）；评审内容每缺一项扣3分，评审内 容有缺陷未完全响应评审标准的每项缺 陷扣0.1-2.9分，扣完为止。 (“缺陷”是 指：内容描述过于简单没有关键点；条 理不清晰；与项目内容不匹配、非专门 针对本项目或不适用本项目特性；凭空 编造，存在逻辑漏洞，出现常识性错误 ；不可能实现的夸大情形、存在不适用 项目实际情况的情形等。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内部管理措施</w:t>
            </w:r>
          </w:p>
        </w:tc>
        <w:tc>
          <w:tcPr>
            <w:tcW w:type="dxa" w:w="2492"/>
          </w:tcPr>
          <w:p>
            <w:pPr>
              <w:pStyle w:val="null3"/>
            </w:pPr>
            <w:r>
              <w:rPr>
                <w:rFonts w:ascii="仿宋_GB2312" w:hAnsi="仿宋_GB2312" w:cs="仿宋_GB2312" w:eastAsia="仿宋_GB2312"/>
              </w:rPr>
              <w:t>根据各供应商针对本项目的管理服务措 施，具有规范的管理服务流程，（包含 但不限于：①内部管理架构、②激励、 惩罚机制、③投诉反馈处理），评审标 准：管理服务措施内容全面详细，有规 范的管理服务流程得6分（每项2分）； 评审内容每缺一项扣2分，评审内容有 缺陷未完全响应评审标准的每项缺陷扣 0.1-1.9分，扣完为止。 (“缺陷”是指： 内容描述过于简单没有关键点；条理不 清晰；与项目内容不匹配、非专门针对 本项目或不适用本项目特性；凭空编造 ，存在逻辑漏洞，出现常识性错误；不 可能实现的夸大情形、存在不适用项目 实际情况的情形等。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风险控制管理方案</w:t>
            </w:r>
          </w:p>
        </w:tc>
        <w:tc>
          <w:tcPr>
            <w:tcW w:type="dxa" w:w="2492"/>
          </w:tcPr>
          <w:p>
            <w:pPr>
              <w:pStyle w:val="null3"/>
            </w:pPr>
            <w:r>
              <w:rPr>
                <w:rFonts w:ascii="仿宋_GB2312" w:hAnsi="仿宋_GB2312" w:cs="仿宋_GB2312" w:eastAsia="仿宋_GB2312"/>
              </w:rPr>
              <w:t>项目实施需建立完善的风险管理机制， 提前识别并预警可能出现的风险，制定 应对措施，确保项目稳定推进。方案内 容至少包含以下内容：①技术风险方面 、②进度风险方面、③数据安全风险方 面。评审标准：各部分内容全面详细、 阐述条理清晰详尽、符合本项目风险控 制管理的实际需求得9分（每项3分）； 评审内容每缺一项扣3分，评审内容有 缺陷未完全响应评审标准的每项缺陷扣 0.1-2.9分，扣完为止。 (“缺陷”是指： 内容描述过于简单没有关键点；条理不 清晰；与项目内容不匹配、非专门针对 本项目或不适用本项目特性；凭空编造 ，存在逻辑漏洞，出现常识性错误；不 可能实现的夸大情形、存在不适用项目 实际情况的情形等。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服务团队配备</w:t>
            </w:r>
          </w:p>
        </w:tc>
        <w:tc>
          <w:tcPr>
            <w:tcW w:type="dxa" w:w="2492"/>
          </w:tcPr>
          <w:p>
            <w:pPr>
              <w:pStyle w:val="null3"/>
            </w:pPr>
            <w:r>
              <w:rPr>
                <w:rFonts w:ascii="仿宋_GB2312" w:hAnsi="仿宋_GB2312" w:cs="仿宋_GB2312" w:eastAsia="仿宋_GB2312"/>
              </w:rPr>
              <w:t>供应商提供针对本项目所配备的人员， 内容包括：①服务团队工作方案 ②内部 职责分工③投入的后端服务团队、驻场 服务人员等证书证件。评审标准：服务 团队配备满足实际项目进展需求能保障 本项目顺利实施得9分（每项3分）；评 审内容每缺一项扣3分，评审内容有缺 陷未完全响应评审标准的每项缺陷扣0. 1-2.9分，扣完为止。 (“缺陷”是指：内 容描述过于简单没有关键点；条理不清 晰；与项目内容不匹配、非专门针对本 项目或不适用本项目特性；凭空编造， 存在逻辑漏洞，出现常识性错误；不可 能实现的夸大情形、存在不适用项目实 际情况的情形等。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供应商针对本项目提供详细培训方案， 包括但不限于①培训方式②培训周期③ 培训范围及内容；评审标准 1、完整性 ：方案必须全面，对评审内容中的各项 要求有详细描述； 2、可实施性：切合 本项目实际情况，提出步骤清晰、合理 的方案； 3、针对性：方案能够紧扣项 目实际情况，内容科学合理得9分（每 项3分）；评审内容每缺一项扣3分，评 审内容有缺陷未完全响应评审标准的每 项缺陷扣0.1-2.9分，扣完为止。 (“缺 陷”是指：内容描述过于简单没有关键点 ；条理不清晰；与项目内容不匹配、非 专门针对本项目或不适用本项目特性； 凭空编造，存在逻辑漏洞，出现常识性 错误；不可能实现的夸大情形、存在不 适用项目实际情况的情形等。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磋商小组根据各供应商针对本项目的 合理化建议，从积极意义、可行性、合 理性等方面进行赋分； 提供有利于采购 人和项目实施的合理化建议得5分。满 足评审内容有缺陷未完全响应评审标准 的每项缺陷扣0.1-4.9分，扣完为止。 ( “缺陷”是指：内容描述过于简单没有关 键点；条理不清晰；与项目内容不匹配 、非专门针对本项目或不适用本项目特 性；凭空编造，存在逻辑漏洞，出现常 识性错误；不可能实现的夸大情形、存 在不适用项目实际情况的情形等。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供应商针对项目安全保密职责提供具体 的保密措施，由评标委员会进行综合评 审，保密措施内容详细完整，且利于项 目实施得5分。满足评审内容有缺陷未 完全响应评审标准的每项缺陷扣0.1-4.9 分，扣完为止。 (“缺陷”是指：内容描 述过于简单没有关键点；条理不清晰； 与项目内容不匹配、非专门针对本项目 或不适用本项目特性；凭空编造，存在 逻辑漏洞，出现常识性错误；不可能实 现的夸大情形、存在不适用项目实际情 况的情形等。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供应商提供自2022年1月1日以来（以 合同签订时间为准）类似项目业绩，每 提供1份合同得2.5分，最高得5分。注： 以合同或中标通知书复印件加盖公章为 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满足竞争性磋商文件要求且最终评审报价最低的报价为评标基准价，其价格分为满分。 其他供应商的价格分统一按照下列公式计算： 磋商报价得分=（评标基准价/磋商报价） ×价格权值。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详见附件：法定代表人身份证明及授权委托书.docx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