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版本号：SXGLZFCG2026-001号20260105001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铜川新材料产业园区复兴路、创新路、华原二路道路沉降维修项目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SXGLZFCG2026-001号</w:t>
      </w:r>
      <w:r>
        <w:br/>
      </w:r>
      <w:r>
        <w:br/>
      </w:r>
      <w:r>
        <w:br/>
      </w:r>
    </w:p>
    <w:p>
      <w:pPr>
        <w:pStyle w:val="null3"/>
        <w:jc w:val="center"/>
        <w:outlineLvl w:val="2"/>
      </w:pPr>
      <w:r>
        <w:rPr>
          <w:rFonts w:ascii="仿宋_GB2312" w:hAnsi="仿宋_GB2312" w:cs="仿宋_GB2312" w:eastAsia="仿宋_GB2312"/>
          <w:sz w:val="28"/>
          <w:b/>
        </w:rPr>
        <w:t>铜川新材料产业园区管理委员会</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铜川新材料产业园区管理委员会</w:t>
      </w:r>
      <w:r>
        <w:rPr>
          <w:rFonts w:ascii="仿宋_GB2312" w:hAnsi="仿宋_GB2312" w:cs="仿宋_GB2312" w:eastAsia="仿宋_GB2312"/>
        </w:rPr>
        <w:t>委托，拟对</w:t>
      </w:r>
      <w:r>
        <w:rPr>
          <w:rFonts w:ascii="仿宋_GB2312" w:hAnsi="仿宋_GB2312" w:cs="仿宋_GB2312" w:eastAsia="仿宋_GB2312"/>
        </w:rPr>
        <w:t>铜川新材料产业园区复兴路、创新路、华原二路道路沉降维修项目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SXGLZFCG2026-001号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铜川新材料产业园区复兴路、创新路、华原二路道路沉降维修项目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该项目主要工程内容包括：路面破除路面恢复；人行道拆除及恢复、局部路缘石拆除及恢复、垃圾外运等工程。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采购包1（铜川新材料产业园区复兴路、创新路、华原二路道路沉降维修项目）：属于专门面向中小企业采购。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1、合格供应商：具有独立承担民事责任能力的法人、其他组织或自然人并出具合法有效的营业执照 或事业单位法人证书等国家规定的相关证明，自然人参与的提供其身份证明。供应 商需在项目电子化交易系统中按要求上传相应证明文件并进行电子签章；</w:t>
      </w:r>
    </w:p>
    <w:p>
      <w:pPr>
        <w:pStyle w:val="null3"/>
      </w:pPr>
      <w:r>
        <w:rPr>
          <w:rFonts w:ascii="仿宋_GB2312" w:hAnsi="仿宋_GB2312" w:cs="仿宋_GB2312" w:eastAsia="仿宋_GB2312"/>
        </w:rPr>
        <w:t>2、财务相关资料：提供（1）或提供（2）：（1）提供2024年度财务报告复印件，应满足以下要求 ： ①供应商是企业的，财务报告是指经会计师事务所审计的上述指定年度整个会 计年度财务报表（须提供会计师事务所出具的审计报告复印件）,复印件至少须包 括报告正文、资产负债表、现金流量表、利润表、附注和会计师事务所营业执照， 报告正文应当有会计师事务所公章和2名注册会计师的签字及盖章，且审计报告应 当经过注册会计师行业统一监管平台备案赋码。 ② 供应商适用《事业单位会计准 则》的，财务报告是指上述指定年度整个会计年度财务报表（不要求必须是经审计 的），复印件至少须包括资产负债表、收入支出表（或收入费用表）、财政补助收 入支出表。 ③ 供应商适用《政府会计准则》的，财务报告是指上述指定年度整个 会计年度财务报表（不要求必须是经审计的），复印件至少须包括资产负债表、收 入费用表。 ④ 供应商适用《民间非营利组织会计制度》的，财务报告是指上述指 定年度整个会计年度财务报表（不要求必须是经审计的），复印件至少须包括资产 负债表、业务活动表、现金流量表。 ⑤ 供应商是上述四种情况以外情况的，按照 其依法适用的会计制度、财务规则或会计准则提供 财务报表复印件（不要求必须 是经审计的）。 （2）提供资信证明原件或复印件，应满足以下要求： ① 资信证 明须为递交响应文件截止时间前三个月内由供应商基本账户开户银行出具。 ② 无 论开具银行是否标明“复印无效”，供应商提供的复印件在本次投标中予以认可（即 不因“复印无效”字样而认定资信证明复印件无效）。 ③ 银行出具的存款证明不能 替代银行资信证明；</w:t>
      </w:r>
    </w:p>
    <w:p>
      <w:pPr>
        <w:pStyle w:val="null3"/>
      </w:pPr>
      <w:r>
        <w:rPr>
          <w:rFonts w:ascii="仿宋_GB2312" w:hAnsi="仿宋_GB2312" w:cs="仿宋_GB2312" w:eastAsia="仿宋_GB2312"/>
        </w:rPr>
        <w:t>3、供应商信誉：供应商不得为“信用中国”网站（www.creditchina.gov.cn）中列入失信被执行人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p>
      <w:pPr>
        <w:pStyle w:val="null3"/>
      </w:pPr>
      <w:r>
        <w:rPr>
          <w:rFonts w:ascii="仿宋_GB2312" w:hAnsi="仿宋_GB2312" w:cs="仿宋_GB2312" w:eastAsia="仿宋_GB2312"/>
        </w:rPr>
        <w:t>4、设备和专业技术能力承诺：具有履行合同所必需的设备和专业技术能力，提供证明材料或书面承诺并加盖公章 ；</w:t>
      </w:r>
    </w:p>
    <w:p>
      <w:pPr>
        <w:pStyle w:val="null3"/>
      </w:pPr>
      <w:r>
        <w:rPr>
          <w:rFonts w:ascii="仿宋_GB2312" w:hAnsi="仿宋_GB2312" w:cs="仿宋_GB2312" w:eastAsia="仿宋_GB2312"/>
        </w:rPr>
        <w:t>5、税收缴纳证明：提供2025年至今已缴纳的1个月的纳税证明或完税证明，依法免税的单位应提供 相关证明材料。供应商需在项目电子化交易系统中按要求上传相应证明文件并进行 电子签章；</w:t>
      </w:r>
    </w:p>
    <w:p>
      <w:pPr>
        <w:pStyle w:val="null3"/>
      </w:pPr>
      <w:r>
        <w:rPr>
          <w:rFonts w:ascii="仿宋_GB2312" w:hAnsi="仿宋_GB2312" w:cs="仿宋_GB2312" w:eastAsia="仿宋_GB2312"/>
        </w:rPr>
        <w:t>6、社会保障资金缴纳证明：提供2025年至今已缴纳的1个月的社会保障资金缴存单据或社保机构开具的社会 保险参保缴费情况证明，依法不需要缴纳社会保障资金的单位应提供相关证明材料 。供应商需在项目电子化交易系统中按要求上传相应证明文件并进行电子签章。</w:t>
      </w:r>
    </w:p>
    <w:p>
      <w:pPr>
        <w:pStyle w:val="null3"/>
      </w:pPr>
      <w:r>
        <w:rPr>
          <w:rFonts w:ascii="仿宋_GB2312" w:hAnsi="仿宋_GB2312" w:cs="仿宋_GB2312" w:eastAsia="仿宋_GB2312"/>
        </w:rPr>
        <w:t>7、无重大违法记录声明：参加政府采购活动近三年内，在经营活动中没有重大违法记录，提供书面声明；</w:t>
      </w:r>
    </w:p>
    <w:p>
      <w:pPr>
        <w:pStyle w:val="null3"/>
      </w:pPr>
      <w:r>
        <w:rPr>
          <w:rFonts w:ascii="仿宋_GB2312" w:hAnsi="仿宋_GB2312" w:cs="仿宋_GB2312" w:eastAsia="仿宋_GB2312"/>
        </w:rPr>
        <w:t>8、资质要求：供应商须具有市政公用工程施工总承包三级及以上资质，且具有有效的安全生产许 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铜川新材料产业园区管理委员会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陕西省铜川市耀州区坡头街道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0919-3589090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陕西省铜川市新区朝阳路鸿翔逸境北门东侧119号（陕西公立）3楼304室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铜川新材料产业园区管理委员会</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铜川新材料产业园区管理委员会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铜川新材料产业园区管理委员会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按照双方最终签订的合同执行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地址：陕西省铜川市新区朝阳路鸿翔逸境北门东侧119号（陕西公立）3楼304室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1,339,174.90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园区复兴路、创新路、华原二路道路沉降维修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标的名称：园区复兴路、创新路、华原二路道路沉降维修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以工程量清单为准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竞争性磋商响应文件，同时，于开标前线下提交生成带电子签章的竞争性磋商响应文件纸质版至陕西省铜川市新区朝阳路鸿翔逸境北门东侧119号（陕西公立）3楼304室，响应文件正本一份，副本一份，电子U盘一份。竞争性磋商响应文件纸质版正本、副本与电子版一同密封，且在封袋正面标明“竞争性磋商响应文件纸质版”字样。封袋应加贴封条，并在封线处加盖供应商公章，封袋正面要粘贴供应商全称、项目名称、编号等标识。 2、本项目最高限价为1339174.90元，各供应商所报价格不得超过最高限价（实质性要求），否则按无效响应文件对待。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 或事业单位法人证书等国家规定的相关证明，自然人参与的提供其身份证明。供应 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财务相关资料</w:t>
            </w:r>
          </w:p>
        </w:tc>
        <w:tc>
          <w:tcPr>
            <w:tcW w:type="dxa" w:w="3322"/>
          </w:tcPr>
          <w:p>
            <w:pPr>
              <w:pStyle w:val="null3"/>
            </w:pPr>
            <w:r>
              <w:rPr>
                <w:rFonts w:ascii="仿宋_GB2312" w:hAnsi="仿宋_GB2312" w:cs="仿宋_GB2312" w:eastAsia="仿宋_GB2312"/>
              </w:rPr>
              <w:t>提供（1）或提供（2）：（1）提供2024年度财务报告复印件，应满足以下要求 ： ①供应商是企业的，财务报告是指经会计师事务所审计的上述指定年度整个会 计年度财务报表（须提供会计师事务所出具的审计报告复印件）,复印件至少须包 括报告正文、资产负债表、现金流量表、利润表、附注和会计师事务所营业执照， 报告正文应当有会计师事务所公章和2名注册会计师的签字及盖章，且审计报告应 当经过注册会计师行业统一监管平台备案赋码。 ② 供应商适用《事业单位会计准 则》的，财务报告是指上述指定年度整个会计年度财务报表（不要求必须是经审计 的），复印件至少须包括资产负债表、收入支出表（或收入费用表）、财政补助收 入支出表。 ③ 供应商适用《政府会计准则》的，财务报告是指上述指定年度整个 会计年度财务报表（不要求必须是经审计的），复印件至少须包括资产负债表、收 入费用表。 ④ 供应商适用《民间非营利组织会计制度》的，财务报告是指上述指 定年度整个会计年度财务报表（不要求必须是经审计的），复印件至少须包括资产 负债表、业务活动表、现金流量表。 ⑤ 供应商是上述四种情况以外情况的，按照 其依法适用的会计制度、财务规则或会计准则提供 财务报表复印件（不要求必须 是经审计的）。 （2）提供资信证明原件或复印件，应满足以下要求： ① 资信证 明须为递交响应文件截止时间前三个月内由供应商基本账户开户银行出具。 ② 无 论开具银行是否标明“复印无效”，供应商提供的复印件在本次投标中予以认可（即 不因“复印无效”字样而认定资信证明复印件无效）。 ③ 银行出具的存款证明不能 替代银行资信证明；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 ；</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 相关证明材料。供应商需在项目电子化交易系统中按要求上传相应证明文件并进行 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 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供应商须具有市政公用工程施工总承包三级及以上资质，且具有有效的安全生产许 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响应文件格式及签字盖章</w:t>
            </w:r>
          </w:p>
        </w:tc>
        <w:tc>
          <w:tcPr>
            <w:tcW w:type="dxa" w:w="3322"/>
          </w:tcPr>
          <w:p>
            <w:pPr>
              <w:pStyle w:val="null3"/>
            </w:pPr>
            <w:r>
              <w:rPr>
                <w:rFonts w:ascii="仿宋_GB2312" w:hAnsi="仿宋_GB2312" w:cs="仿宋_GB2312" w:eastAsia="仿宋_GB2312"/>
              </w:rPr>
              <w:t>完全满足磋商文件文件格式要求签字盖章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其他说明.docx 响应文件封面 法定代表人身份证明书.docx 供应商应提交的相关资格证明材料.docx 残疾人福利性单位声明函 报价函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需满足磋商文件要求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不论其大写或小写金额均只能有一个有效报价，且未超过最高限价。</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 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技术方案内容完全满足评审标准得7分；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技术方案内容完全满足评审标准得7分；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技术方案内容完全满足评审标准得7分；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技术方案内容完全满足评审标准得7分；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 、“治污减 霾”措施计划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技术方案内容完全满足评审标准得7分；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施工方案及工艺</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技术方案内容完全满足所有评审标准得15分；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 料投入计 划包括但不限于新 材料、新 工艺、绿色建材的使用</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技术方案内容完全满足评审标准得7分；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技术方案内容完全满足评审标准得7分；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1.经资格及符合性审查合格的磋商响应文件，其磋商报价为有效磋商报价。 2.满足竞争性磋商文件实质性要求且最后报价最低的供应商的价格为磋商基准价，其价格分为满分30分。 3.磋商报价得分=（磋商基准价/磋商评审价）×30的公式计算得分。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