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版本号：FHZB-202501220260105003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2026年铜川新区节日美化工程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FHZB-2025012</w:t>
      </w:r>
      <w:r>
        <w:br/>
      </w:r>
      <w:r>
        <w:br/>
      </w:r>
      <w:r>
        <w:br/>
      </w:r>
    </w:p>
    <w:p>
      <w:pPr>
        <w:pStyle w:val="null3"/>
        <w:jc w:val="center"/>
        <w:outlineLvl w:val="2"/>
      </w:pPr>
      <w:r>
        <w:rPr>
          <w:rFonts w:ascii="仿宋_GB2312" w:hAnsi="仿宋_GB2312" w:cs="仿宋_GB2312" w:eastAsia="仿宋_GB2312"/>
          <w:sz w:val="28"/>
          <w:b/>
        </w:rPr>
        <w:t>铜川市城市管理执法局新耀分局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铜川市城市管理执法局新耀分局</w:t>
      </w:r>
      <w:r>
        <w:rPr>
          <w:rFonts w:ascii="仿宋_GB2312" w:hAnsi="仿宋_GB2312" w:cs="仿宋_GB2312" w:eastAsia="仿宋_GB2312"/>
        </w:rPr>
        <w:t>委托，拟对</w:t>
      </w:r>
      <w:r>
        <w:rPr>
          <w:rFonts w:ascii="仿宋_GB2312" w:hAnsi="仿宋_GB2312" w:cs="仿宋_GB2312" w:eastAsia="仿宋_GB2312"/>
        </w:rPr>
        <w:t>2026年铜川新区节日美化工程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FHZB-2025012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2026年铜川新区节日美化工程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喜迎2026年春节，营造浓厚的节日气氛，计划实施2026年铜川新区节日美化工程。该工程计划在新区政府广场、阳光广场、高速路口摆放节日雕塑灯饰及草花，在新区主要路段正阳路、朝阳路、正大路及新高速出口行道树悬挂灯饰彩灯等。（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采购包1（2026年铜川新区节日美化工程）：属于专门面向中小企业采购。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 规定的证明文件， 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3、财务状况报告：提供2023或2024任一年度经审计的财务审计报告(2025年成立的公司提供成立后企业的资产负债表和利润表）,财务报告须在注册会计师行业统一监管平台报备、赋二维码)， 或提供响应文件递交截止之日前三个月内基本存款账户开户银行开具的资信证明；</w:t>
      </w:r>
    </w:p>
    <w:p>
      <w:pPr>
        <w:pStyle w:val="null3"/>
      </w:pPr>
      <w:r>
        <w:rPr>
          <w:rFonts w:ascii="仿宋_GB2312" w:hAnsi="仿宋_GB2312" w:cs="仿宋_GB2312" w:eastAsia="仿宋_GB2312"/>
        </w:rPr>
        <w:t>4、税收缴纳证明：提供2025年01月01日至今任意一个月的缴纳税收的证明材料(依法免税的单位应提供相关证明材料)；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5、社会保障资金缴纳证明：提供2025年01月01日至今任意一个月的依法缴纳社会保障资金的证明材料（依法不需要缴纳社会保障资金的单位应提供相关证明材料）；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7、参加本次政府采购活动前三年内在经营活动中没有重大违法记录：参加本次政府采购活动前三年内在经营活动中没有重大违法记录（提供书面声明函）；</w:t>
      </w:r>
    </w:p>
    <w:p>
      <w:pPr>
        <w:pStyle w:val="null3"/>
      </w:pPr>
      <w:r>
        <w:rPr>
          <w:rFonts w:ascii="仿宋_GB2312" w:hAnsi="仿宋_GB2312" w:cs="仿宋_GB2312" w:eastAsia="仿宋_GB2312"/>
        </w:rPr>
        <w:t>8、信用要求：投标人不得为“信用中国 ”网站（ww w.creditchina.gov.cn） 中列入失信被执行人或重大税收违法失信主体名单的供应商，不得为中国政府采购网（www.ccgp.gov.cn）政府采购严重违法失信行为记录名单中被财政部门禁止参加政府采购活动的供应商；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9、企业关联关系：单位负责人为同一人或者存在直接控股、管理关系的不同供应商不得同时参加本项目投标。</w:t>
      </w:r>
    </w:p>
    <w:p>
      <w:pPr>
        <w:pStyle w:val="null3"/>
      </w:pPr>
      <w:r>
        <w:rPr>
          <w:rFonts w:ascii="仿宋_GB2312" w:hAnsi="仿宋_GB2312" w:cs="仿宋_GB2312" w:eastAsia="仿宋_GB2312"/>
        </w:rPr>
        <w:t>10、企业资质：供应商须具备【市政公用工程施工总承包三级】及以上资质，并具有有效的安全生产许可证。</w:t>
      </w:r>
    </w:p>
    <w:p>
      <w:pPr>
        <w:pStyle w:val="null3"/>
      </w:pPr>
      <w:r>
        <w:rPr>
          <w:rFonts w:ascii="仿宋_GB2312" w:hAnsi="仿宋_GB2312" w:cs="仿宋_GB2312" w:eastAsia="仿宋_GB2312"/>
        </w:rPr>
        <w:t>11、拟派项目负责人资质及专业要求：拟派项目负责人须具备市政公用工程专业二级及以上注册建造师执业资格，具有有效的安全生产考核合格证（B证），且无其他在建工程（提供无在建承诺）；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铜川市城市管理执法局新耀分局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0919-3182039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18717298426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采购包1：3,166,071.00元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下浮5%收取。可以采取现金、支票、银行汇票、电汇、网银等方式，中标/成交投标人在中标（成交）结果公告发布之日起5日内，向招标代理机构缴纳招标代理服务费/中标（成交）服务费。 开户名称：陕西凡华建设项目管理有限公司， 开户行：中国农业银行股份有限公司西安长丰园小区支行， 银行账户：26110201040016041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铜川市城市管理执法局新耀分局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铜川市城市管理执法局新耀分局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铜川市城市管理执法局新耀分局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4）是否邀请服务对象：是，5）是否邀请第三方检测机构：否， 6）履约验收程序：一次性验收 ，7）履约验收时间： 供应商提出验收申请之日起10日内组织验收， 8）履约验收标准：质量必须达到国家及行业现行技术规范标准，符合国家及行业施工验收规范合格标准，并满足采购人要求。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联系电话：18717298426</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3,166,071.00</w:t>
      </w:r>
    </w:p>
    <w:p>
      <w:pPr>
        <w:pStyle w:val="null3"/>
      </w:pPr>
      <w:r>
        <w:rPr>
          <w:rFonts w:ascii="仿宋_GB2312" w:hAnsi="仿宋_GB2312" w:cs="仿宋_GB2312" w:eastAsia="仿宋_GB2312"/>
        </w:rPr>
        <w:t>采购包最高限价（元）: 3,166,071.00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2026年铜川新区节日美化工程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3,166,071.00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标的名称：2026年铜川新区节日美化工程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一、技术标准和要求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本工程的施工过程和成果必须符合国家有关工程建设标准强制性条文和国家或有关部门关于工程施工方面现行的标准、规范、规程、定额、办法、示例，以及铜川市及陕西省关于工程施工方面的文件、规定。</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供应商在施工过程中使用或参考上述标准、规范以外的技术标准、规范时，应征得采购人的同意。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在施工过程中，如果国家或有关部门颁布了新的技术标准或规范，则承包人应采用新的标准或规范进行施工。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供应商所提供的材料如需向第三方外购时，供应商应对质量负责，并提供相应的出厂和验收证明及相关技术文件。同时，还应满足本竞争性磋商文件、工程量清单、施工图纸中的相关技术要求。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质量必须达到国家及行业现行技术规范标准，符合国家及行业施工验收规范合格标准，并满足采购人要求。以及竞争性磋商文件规定的强制性质量和安全标准要求。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供应商成交后，投标文件中拟派项目经理必须与施工时实际委派项目经理一致，采购人将在签署施工合同前查验项目经理相关资质、身份材料以及成交供应商为项目经理缴纳社保的缴费凭据。项目经理必须履职尽责，全程参与施工、例会、解决施工中的问题，严禁挂名挂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本项目如涉及与政府部门（包含且不限于）环保、城管、规划等沟通协调或办理手续，费用及手续办理均由承包人负责，如因沟通协调及办理手续原因造成工期延误或费用增加等由承包人负责。</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施工过程中，供应商应制定详细可行的防污降噪处理措施，减少对周围环境的影响，每天施工结束后对施工现场进行清扫。</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承包人不得将其承包的工程转包给他人，也不得将其承包的工程以分包的名义转包给他人。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为了确保工程建设的工程质量，防范和化解工程建设中的违法违规行为，应严格按照《陕西省建</w:t>
            </w:r>
            <w:r>
              <w:rPr>
                <w:rFonts w:ascii="仿宋_GB2312" w:hAnsi="仿宋_GB2312" w:cs="仿宋_GB2312" w:eastAsia="仿宋_GB2312"/>
                <w:sz w:val="21"/>
              </w:rPr>
              <w:t>设工程工程量清单计价规范》及相关法律法规的规定，并结合本工程项目特点编制项目的实施方案和响应文件、备案和接受行政监督部门的监督。</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成交供应商负责支付拟派往本项目的所有人员的工资，为派往本项目的人员购买相关保险。</w:t>
            </w:r>
          </w:p>
          <w:p>
            <w:pPr>
              <w:pStyle w:val="null3"/>
              <w:jc w:val="both"/>
            </w:pPr>
            <w:r>
              <w:rPr>
                <w:rFonts w:ascii="仿宋_GB2312" w:hAnsi="仿宋_GB2312" w:cs="仿宋_GB2312" w:eastAsia="仿宋_GB2312"/>
                <w:sz w:val="21"/>
              </w:rPr>
              <w:t>二、本工程合同形式为固定综合单价合同。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本工程计价采用固定综合单价，各供应商依据企业自身情况自主报价、风险自负。所有投标报价中的单价和合价均以人民币表示。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各供应商对分部分项工程费、措施项目费、其他项目费等进行自主报价、风险自负。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招标工程量清单的工程项目仅表达了主要工程做法，报价时各投标单位应依据图纸、相关图集，结合竞争性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供应商在投标截止前修改投标函中的投标总报价，应同时修改“已标价工程量清单”中的相应报价。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预留金</w:t>
            </w:r>
            <w:r>
              <w:rPr>
                <w:rFonts w:ascii="仿宋_GB2312" w:hAnsi="仿宋_GB2312" w:cs="仿宋_GB2312" w:eastAsia="仿宋_GB2312"/>
                <w:sz w:val="21"/>
              </w:rPr>
              <w:t>100000.00</w:t>
            </w:r>
            <w:r>
              <w:rPr>
                <w:rFonts w:ascii="仿宋_GB2312" w:hAnsi="仿宋_GB2312" w:cs="仿宋_GB2312" w:eastAsia="仿宋_GB2312"/>
                <w:sz w:val="21"/>
              </w:rPr>
              <w:t>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质量必须达到国家及行业现行技术规范标准，符合国家及行业施工验收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，并在相关主管部门备案。（4）验收不合格的中标单位，必须在接到通知后10个日历日内确保工程通过验收。如接到通知后10个日历日内验收仍不合格，采购人可提出索赔或取消其施工合同。 （三）验收依据：（1）合同文本及合同补充文件（条款） 。（2）磋商文件。（3） 响应文件。（4）工程量清单。（5）施工质量验收标准。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（一）质量保修范围和保修期：成交供应商负责合同期内工程内容的保养及维护。（二）商务要求： 1、工期：合同签订后25日历天内完工（后期撤场时间具体以采购人通知为准）； 2、地点：采购人指定地点； 3、付款方式：分期付款。支付时间及比例：（1）合同签订后 ，达到付款条件起 10 日内，支付合同总金额的 40.00%。（2） 待工程量完成量达到80% ，达到付款条件起 10 日内，支付合同总金额的 40.00%。（3） 付款条件说明： 项目竣工验收合格并审计完成后 ，达到付款条件起 10 日内，支付合同总金额的20.00%。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投标供应商应为满足要求的中型、小型或微型企业或监狱企业或残疾人福利性单位。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 2.其他落实的政府采购政策:（1）《政府采购促进中小企业发展管理办法》（财库〔2020〕46号）；（2）财政部 司法部关于政府采购支持监狱企业发展有关问题的通知--财库〔2014〕68 号；（3）《国务院办公厅关于建立政府强制采购节能产品制度的通知》--国办发〔2007〕51号；(4)《节能产品政府采购实 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 3.企业规模划分标准按《工业和信息化部、国家统计局、国家发展和改革委员会、财政部关于印发&lt;中小企业划型标准规定&gt;的通知》（工信部联企业【2011】300 号）文件规定标准确认）。本项目所属行业为建筑业，供应商应根据工信部联企业【2011】 300 号文件中的划型标准按实际填写所属类型。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或2024任一年度经审计的财务审计报告(2025年成立的公司提供成立后企业的资产负债表和利润表），财务报告须在注册会计师行业统一监管平台报备、赋二维码)，或提供响应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 规定的证明文件，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提供2023或2024任一年度经审计的财务审计报告(2025年成立的公司提供成立后企业的资产负债表和利润表）,财务报告须在注册会计师行业统一监管平台报备、赋二维码)， 或提供响应文件递交截止之日前三个月内基本存款账户开户银行开具的资信证明；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投标人不得为“信用中国 ”网站（ww w.creditchina.gov.cn） 中列入失信被执行人或重大税收违法失信主体名单的供应商，不得为中国政府采购网（www.ccgp.gov.cn）政府采购严重违法失信行为记录名单中被财政部门禁止参加政府采购活动的供应商；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拟派项目负责人须具备市政公用工程专业二级及以上注册建造师执业资格，具有有效的安全生产考核合格证（B证），且无其他在建工程（提供无在建承诺）；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 响应文件的签署及格式：磋商文件要求必须响应的 内容齐全，有格式要求的应符合格式要求；要求签字或盖章的，按文件规定签字或盖章齐全；（2）报价唯一：只能有一个有效报价，不得提交选择性报价，且报价不超过采购 预算和最高限价。（3） 磋商文件响应的响应程度：要求全面响应，不能有任何采购人不能接受的附加条件；（4）拟提供的服务：应满足磋商文件提出的技术和服务要求。（5）磋商有效期：应满足磋商文件中的规定；（6）工期和工程质量：应满足磋商文件中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拒绝商业贿赂承诺书.docx 资格证明文件.docx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针对本项目有详细的①施工方案；②施工场地管理方案；③场地人员管理方案； ④技术组织措施；⑤文明施工、环境保护及“治污减霾”的保障措施。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①施工方案；每完全满足一项评审标准得1分，满分3分，不提供不得分； ②施工场地管理方案；每完全满足一项评审标准得1分，满分3分，不提供不得分； ③场地人员管理方案；每完全满足一项评审标准得1分，满分3分，不提供不得分； ④技术组织措施；每完全满足一项评审标准得1分，满分3分，不提供不得分； ⑤文明施工、环境保护及“治污减霾”的保障措施；每完全满足一项评审标准得1分，满分3分，不提供不得分。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针对本项目有切实可行的①质量管理制度、管理体系与职责；②质量控制与质量检查方案；③确保工程质量的技术组织措施。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①质量管理制度、管理体系与职责；每完全满足一项评审标准得1分，满分3分，不提供不得分； ②质量控制与质量检查方案；每完全满足一项评审标准得1分，满分3分，不提供不得分； ③确保工程质量的技术组织措施；每完全满足一项评审标准得1分，满分3分,不提供不得分。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 施</w:t>
            </w:r>
          </w:p>
        </w:tc>
        <w:tc>
          <w:tcPr>
            <w:tcW w:type="dxa" w:w="2492"/>
          </w:tcPr>
          <w:p>
            <w:pPr>
              <w:pStyle w:val="null3"/>
            </w:pPr>
            <w:r>
              <w:rPr>
                <w:rFonts w:ascii="仿宋_GB2312" w:hAnsi="仿宋_GB2312" w:cs="仿宋_GB2312" w:eastAsia="仿宋_GB2312"/>
              </w:rPr>
              <w:t>一、评审内容 针对本项目有切实可行的①施工人员安全培训措施；②设施、设备安全检查措施；③安全施工保障措施。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①施工人员安全培训措施；每完全满足一项评审标准得1分，满分3分，不提供不得分； ②设施、设备安全检查措施；每完全满足一项评审标准得1分，满分3分，不提供不得分； ③安全施工保障措施；每完全满足一项评审标准得1分，满分3分，不提供不得分。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针对本项目有详细的①项目管理机构配备计划；②人员岗位职责；③团队人员配备情况（人员数量、专业分工、机构健全等）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①项目管理机构配备计划；每完全满足一项评审标准得1分，满分3分，不提供不得分； ②人员岗位职责；每完全满足一项评审标准得1分，满分3分，不提供不得分； ③团队人员配备情况（人员数量、专业分工、机构健全等）；每完全满足一项评审标准得1分，满分3分，不提供不得分。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一、评审内容 针对本项目有切实可行的①进度计划安排；②进度计划实施方案；③确保工期的技术组织措施。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①进度计划安排；每完全满足一项评审标准得1分，满分3分，不提供不得分； ②进度计划实施方案；每完全满足一项评审标准得1分，满分3分，不提供不得分； ③确保工期的技术组织措施；每完全满足一项评审标准得1分，满分3分，不提供不得分。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针对本项目有切实可行的①人员事故应急预案；②突发暴雪、大风、大雾等特殊天气的应急预案。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①人员事故应急预案；每完全满足一项评审标准得1.5分，满分4.5分，不提供不得分； ②突发暴雪、大风、大雾等特殊天气的应急预案；每完全满足一项评审标准得1.5分，满分4.5分，不提供不得分。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一、评审内容 供应商针对本项目有具体的服务承诺及合理化建议。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①供应商针对本项目有具体的服务承诺及合理化建议；每完全满足一项评审标准得2分，满分6分，不提供不得分。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供应商提供近三年（2023年1月1日至今任意时间段）已完类似项目业绩，每提供一个业绩得2分，本项最高得4分。（以合同复印件加盖供应商公章，以合同签订时间为准）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