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版本号：JX-TC-2026-01.1.2B120260210001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铜川市十五五住房和城乡建设事业发展编制项目(二次)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JX-TC-2026-01.1.2B1</w:t>
      </w:r>
      <w:r>
        <w:br/>
      </w:r>
      <w:r>
        <w:br/>
      </w:r>
      <w:r>
        <w:br/>
      </w:r>
    </w:p>
    <w:p>
      <w:pPr>
        <w:pStyle w:val="null3"/>
        <w:jc w:val="center"/>
        <w:outlineLvl w:val="2"/>
      </w:pPr>
      <w:r>
        <w:rPr>
          <w:rFonts w:ascii="仿宋_GB2312" w:hAnsi="仿宋_GB2312" w:cs="仿宋_GB2312" w:eastAsia="仿宋_GB2312"/>
          <w:sz w:val="28"/>
          <w:b/>
        </w:rPr>
        <w:t>铜川市住房和城乡建设局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铜川市住房和城乡建设局</w:t>
      </w:r>
      <w:r>
        <w:rPr>
          <w:rFonts w:ascii="仿宋_GB2312" w:hAnsi="仿宋_GB2312" w:cs="仿宋_GB2312" w:eastAsia="仿宋_GB2312"/>
        </w:rPr>
        <w:t>委托，拟对</w:t>
      </w:r>
      <w:r>
        <w:rPr>
          <w:rFonts w:ascii="仿宋_GB2312" w:hAnsi="仿宋_GB2312" w:cs="仿宋_GB2312" w:eastAsia="仿宋_GB2312"/>
        </w:rPr>
        <w:t>铜川市十五五住房和城乡建设事业发展编制项目(二次)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JX-TC-2026-01.1.2B1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铜川市十五五住房和城乡建设事业发展编制项目(二次)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1、编制铜川市“十五五”住房和城乡建设事业发展规划； 2、根据《陕西省农村住房建设管理办法》的规定，为耀州区、印台区、王益区、宜君县各区县分别设计3个农村住房户型，各户型包含方案图纸及施工图图纸。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证明文件：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提供投标截止之日起前六个月任意一个月的纳税证明或完税证明，纳税证明或完税证明上应有代收机构或税务机关的完整红色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提供投标截止之日起前六个月内任意连续三个月的社会保障资金缴存凭证或社保机构开具的社会保险参保证明或完税证明，社会保障资金缴存凭证或社保机构开具的社会保险参保证明或完税证明上应有代收机构或税务机关的完整红色公章或业务专用章，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4、承诺声明：提供具有履行合同所必需的设备和专业技术能力的承诺声明。供应商需在项目电子化交易系统中按要求上传相应证明文件并进行电子签章。</w:t>
      </w:r>
    </w:p>
    <w:p>
      <w:pPr>
        <w:pStyle w:val="null3"/>
      </w:pPr>
      <w:r>
        <w:rPr>
          <w:rFonts w:ascii="仿宋_GB2312" w:hAnsi="仿宋_GB2312" w:cs="仿宋_GB2312" w:eastAsia="仿宋_GB2312"/>
        </w:rPr>
        <w:t>5、书面声明：提供参加政府采购活动前3年内，在经营活动中没有重大违法记录的书面声明。供应商需在项目电子化交易系统中按要求上传相应证明文件并进行电子签章。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授权代表：法定代表人直接参加投标的，须出具法定代表人身份证明书；法定代表人授权代表参加投标的，须出具法定代表人授权委托书。供应商需在项目电子化交易系统中按要求上传相应证明文件并进行电子签章。</w:t>
      </w:r>
    </w:p>
    <w:p>
      <w:pPr>
        <w:pStyle w:val="null3"/>
      </w:pPr>
      <w:r>
        <w:rPr>
          <w:rFonts w:ascii="仿宋_GB2312" w:hAnsi="仿宋_GB2312" w:cs="仿宋_GB2312" w:eastAsia="仿宋_GB2312"/>
        </w:rPr>
        <w:t>7、信用记录：截止响应文件递交截止时间之前，供应商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8、是否接受联合体磋商：提供非联合体声明；供应商需在项目电子化交易系统中按要求上传相应证明文件并进行电子签章。</w:t>
      </w:r>
    </w:p>
    <w:p>
      <w:pPr>
        <w:pStyle w:val="null3"/>
      </w:pPr>
      <w:r>
        <w:rPr>
          <w:rFonts w:ascii="仿宋_GB2312" w:hAnsi="仿宋_GB2312" w:cs="仿宋_GB2312" w:eastAsia="仿宋_GB2312"/>
        </w:rPr>
        <w:t>9、供应商控股、管理关系说明；：提供单位负责人为同一人或者存在直接控股、管理关系的不同供应商，不得参加同一合同包的政府采购活动的承诺函。供应商需在项目电子化交易系统中按要求上传相应证明文件并进行电子签章。</w:t>
      </w:r>
    </w:p>
    <w:p>
      <w:pPr>
        <w:pStyle w:val="null3"/>
      </w:pPr>
      <w:r>
        <w:rPr>
          <w:rFonts w:ascii="仿宋_GB2312" w:hAnsi="仿宋_GB2312" w:cs="仿宋_GB2312" w:eastAsia="仿宋_GB2312"/>
        </w:rPr>
        <w:t>10、资质：供应商须具备国家主管部门颁发的城乡规划编制甲级企业资质（资质证书在有效期内）。供应商需在项目电子化交易系统中按要求上传相应证明文件并进行电子签章。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证明文件：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提供投标截止之日起前六个月任意一个月的纳税证明或完税证明，纳税证明或完税证明上应有代收机构或税务机关的完整红色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提供投标截止之日起前六个月任意连续三个月的社会保障资金缴存凭证或社保机构开具的社会保险参保证明或完税证明，社会保障资金缴存凭证或社保机构开具的社会保险参保证明或完税证明上应有代收机构或税务机关的完整红色公章或业务专用章，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4、承诺声明：提供具有履行合同所必需的设备和专业技术能力的承诺声明。供应商需在项目电子化交易系统中按要求上传相应证明文件并进行电子签章。</w:t>
      </w:r>
    </w:p>
    <w:p>
      <w:pPr>
        <w:pStyle w:val="null3"/>
      </w:pPr>
      <w:r>
        <w:rPr>
          <w:rFonts w:ascii="仿宋_GB2312" w:hAnsi="仿宋_GB2312" w:cs="仿宋_GB2312" w:eastAsia="仿宋_GB2312"/>
        </w:rPr>
        <w:t>5、书面声明：提供参加政府采购活动前3年内，在经营活动中没有重大违法记录的书面声明。供应商需在项目电子化交易系统中按要求上传相应证明文件并进行电子签章。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授权代表：法定代表人直接参加投标的，须出具法定代表人身份证明书；法定代表人授权代表参加投标的，须出具法定代表人授权委托书。供应商需在项目电子化交易系统中按要求上传相应证明文件并进行电子签章。</w:t>
      </w:r>
    </w:p>
    <w:p>
      <w:pPr>
        <w:pStyle w:val="null3"/>
      </w:pPr>
      <w:r>
        <w:rPr>
          <w:rFonts w:ascii="仿宋_GB2312" w:hAnsi="仿宋_GB2312" w:cs="仿宋_GB2312" w:eastAsia="仿宋_GB2312"/>
        </w:rPr>
        <w:t>7、信用记录：截止响应文件递交截止时间之前，供应商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8、企业资质：供应商须具有国家行政主管部门颁发的工程设计建筑行业（建筑工程）专业乙级及以上资质证书（资质证书在有效期内）；供应商需在项目电子化交易系统中按要求上传相应证明文件并进行电子签章。</w:t>
      </w:r>
    </w:p>
    <w:p>
      <w:pPr>
        <w:pStyle w:val="null3"/>
      </w:pPr>
      <w:r>
        <w:rPr>
          <w:rFonts w:ascii="仿宋_GB2312" w:hAnsi="仿宋_GB2312" w:cs="仿宋_GB2312" w:eastAsia="仿宋_GB2312"/>
        </w:rPr>
        <w:t>9、是否接受联合体磋商：提供非联合体声明；供应商需在项目电子化交易系统中按要求上传相应证明文件并进行电子签章。</w:t>
      </w:r>
    </w:p>
    <w:p>
      <w:pPr>
        <w:pStyle w:val="null3"/>
      </w:pPr>
      <w:r>
        <w:rPr>
          <w:rFonts w:ascii="仿宋_GB2312" w:hAnsi="仿宋_GB2312" w:cs="仿宋_GB2312" w:eastAsia="仿宋_GB2312"/>
        </w:rPr>
        <w:t>10、供应商控股、管理关系说明：提供单位负责人为同一人或者存在直接控股、管理关系的不同供应商，不得参加同一合同包的政府采购活动的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3182913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陕西省西安市碑林区陕西省西安市碑林区南二环路79号广丰国际大厦II区906室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18161791282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采购包1：392,500.00元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依据国家计委颁布《招标代理服务收费管理暂行办法》（计价格[2002]1980号）和发改价格[2011]534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铜川市住房和城乡建设局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联系电话：18161791282</w:t>
      </w:r>
    </w:p>
    <w:p>
      <w:pPr>
        <w:pStyle w:val="null3"/>
      </w:pPr>
      <w:r>
        <w:rPr>
          <w:rFonts w:ascii="仿宋_GB2312" w:hAnsi="仿宋_GB2312" w:cs="仿宋_GB2312" w:eastAsia="仿宋_GB2312"/>
        </w:rPr>
        <w:t>地址： 陕西省西安市碑林区陕西省西安市碑林区南二环路79号广丰国际大厦II区906室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1、编制铜川市“十五五”住房和城乡建设事业发展规划； 2、根据《陕西省农村住房建设管理办法》的规定，为耀州区、印台区、王益区、宜君县各区县分别设计3个农村住房户型，各户型包含方案图纸及施工图图纸。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392,500.00</w:t>
      </w:r>
    </w:p>
    <w:p>
      <w:pPr>
        <w:pStyle w:val="null3"/>
      </w:pPr>
      <w:r>
        <w:rPr>
          <w:rFonts w:ascii="仿宋_GB2312" w:hAnsi="仿宋_GB2312" w:cs="仿宋_GB2312" w:eastAsia="仿宋_GB2312"/>
        </w:rPr>
        <w:t>采购包最高限价（元）: 392,500.00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32"/>
                <w:b/>
              </w:rPr>
              <w:t>一、</w:t>
            </w:r>
            <w:r>
              <w:rPr>
                <w:rFonts w:ascii="仿宋_GB2312" w:hAnsi="仿宋_GB2312" w:cs="仿宋_GB2312" w:eastAsia="仿宋_GB2312"/>
                <w:sz w:val="32"/>
                <w:b/>
              </w:rPr>
              <w:t>项目基本情况</w:t>
            </w:r>
          </w:p>
          <w:p>
            <w:pPr>
              <w:pStyle w:val="null3"/>
              <w:jc w:val="both"/>
            </w:pPr>
            <w:r>
              <w:rPr>
                <w:rFonts w:ascii="仿宋_GB2312" w:hAnsi="仿宋_GB2312" w:cs="仿宋_GB2312" w:eastAsia="仿宋_GB2312"/>
                <w:sz w:val="32"/>
                <w:b/>
              </w:rPr>
              <w:t>（一）项目名称：</w:t>
            </w:r>
            <w:r>
              <w:rPr>
                <w:rFonts w:ascii="仿宋_GB2312" w:hAnsi="仿宋_GB2312" w:cs="仿宋_GB2312" w:eastAsia="仿宋_GB2312"/>
                <w:sz w:val="32"/>
              </w:rPr>
              <w:t>铜川市十五五住房和城乡建设事业发展编制项目</w:t>
            </w:r>
          </w:p>
          <w:p>
            <w:pPr>
              <w:pStyle w:val="null3"/>
              <w:jc w:val="both"/>
            </w:pPr>
            <w:r>
              <w:rPr>
                <w:rFonts w:ascii="仿宋_GB2312" w:hAnsi="仿宋_GB2312" w:cs="仿宋_GB2312" w:eastAsia="仿宋_GB2312"/>
                <w:sz w:val="32"/>
                <w:b/>
              </w:rPr>
              <w:t>（</w:t>
            </w:r>
            <w:r>
              <w:rPr>
                <w:rFonts w:ascii="仿宋_GB2312" w:hAnsi="仿宋_GB2312" w:cs="仿宋_GB2312" w:eastAsia="仿宋_GB2312"/>
                <w:sz w:val="32"/>
                <w:b/>
              </w:rPr>
              <w:t>二</w:t>
            </w:r>
            <w:r>
              <w:rPr>
                <w:rFonts w:ascii="仿宋_GB2312" w:hAnsi="仿宋_GB2312" w:cs="仿宋_GB2312" w:eastAsia="仿宋_GB2312"/>
                <w:sz w:val="32"/>
                <w:b/>
              </w:rPr>
              <w:t>）项目概况</w:t>
            </w:r>
          </w:p>
          <w:p>
            <w:pPr>
              <w:pStyle w:val="null3"/>
              <w:ind w:firstLine="640"/>
              <w:jc w:val="both"/>
            </w:pPr>
            <w:r>
              <w:rPr>
                <w:rFonts w:ascii="仿宋_GB2312" w:hAnsi="仿宋_GB2312" w:cs="仿宋_GB2312" w:eastAsia="仿宋_GB2312"/>
                <w:sz w:val="32"/>
              </w:rPr>
              <w:t>“十五五”时期是我国基本实现社会主义现代化夯实基础、全面发力的关键时期，也是铜川市作为资源型城市推动全方位转型高质量发展的攻坚突破期。当前，铜川市已在住建领域取得显著成效，通过老旧小区改造、管网更新、公园绿地建设等工作，成功创建“省级生态园林城市”“全国绿化模范城市”，城乡人居环境持续优化。在此基础上，《铜川市十五五住房和城乡建设事业发展编制项目》作为统筹全市住建领域未来五年发展的行动纲领，将立足铜川资源型城市转型实际，紧扣城乡融合、民生改善、品质提升核心诉求，明确发展目标、重点任务与实施路径，为推动住建事业迈入高质量发展新阶段提供全局性、系统性、指导性支撑，助力铜川打造生态宜居、功能完善、文脉彰显的现代化城市。</w:t>
            </w:r>
          </w:p>
          <w:p>
            <w:pPr>
              <w:pStyle w:val="null3"/>
              <w:jc w:val="both"/>
            </w:pPr>
            <w:r>
              <w:rPr>
                <w:rFonts w:ascii="仿宋_GB2312" w:hAnsi="仿宋_GB2312" w:cs="仿宋_GB2312" w:eastAsia="仿宋_GB2312"/>
                <w:sz w:val="32"/>
                <w:b/>
              </w:rPr>
              <w:t>（</w:t>
            </w:r>
            <w:r>
              <w:rPr>
                <w:rFonts w:ascii="仿宋_GB2312" w:hAnsi="仿宋_GB2312" w:cs="仿宋_GB2312" w:eastAsia="仿宋_GB2312"/>
                <w:sz w:val="32"/>
                <w:b/>
              </w:rPr>
              <w:t>三</w:t>
            </w:r>
            <w:r>
              <w:rPr>
                <w:rFonts w:ascii="仿宋_GB2312" w:hAnsi="仿宋_GB2312" w:cs="仿宋_GB2312" w:eastAsia="仿宋_GB2312"/>
                <w:sz w:val="32"/>
                <w:b/>
              </w:rPr>
              <w:t>）</w:t>
            </w:r>
            <w:r>
              <w:rPr>
                <w:rFonts w:ascii="仿宋_GB2312" w:hAnsi="仿宋_GB2312" w:cs="仿宋_GB2312" w:eastAsia="仿宋_GB2312"/>
                <w:sz w:val="32"/>
                <w:b/>
              </w:rPr>
              <w:t>项目</w:t>
            </w:r>
            <w:r>
              <w:rPr>
                <w:rFonts w:ascii="仿宋_GB2312" w:hAnsi="仿宋_GB2312" w:cs="仿宋_GB2312" w:eastAsia="仿宋_GB2312"/>
                <w:sz w:val="32"/>
                <w:b/>
              </w:rPr>
              <w:t>采购内容</w:t>
            </w:r>
          </w:p>
          <w:p>
            <w:pPr>
              <w:pStyle w:val="null3"/>
            </w:pPr>
            <w:r>
              <w:rPr>
                <w:rFonts w:ascii="仿宋_GB2312" w:hAnsi="仿宋_GB2312" w:cs="仿宋_GB2312" w:eastAsia="仿宋_GB2312"/>
                <w:sz w:val="32"/>
              </w:rPr>
              <w:t>全面落实党的最新重要会议和中央历次全会精神，贯通落实党中央历次来陕考察重要讲话重要指示精神，严格遵循省委、省政府关于</w:t>
            </w:r>
            <w:r>
              <w:rPr>
                <w:rFonts w:ascii="仿宋_GB2312" w:hAnsi="仿宋_GB2312" w:cs="仿宋_GB2312" w:eastAsia="仿宋_GB2312"/>
                <w:sz w:val="32"/>
              </w:rPr>
              <w:t>“十五五”住建领域“补短板、优功能、提品质”的决策部署，将“五个扎实”“五项要求”“四个着力”重要要求贯穿规划编制全过程。</w:t>
            </w:r>
          </w:p>
          <w:p>
            <w:pPr>
              <w:pStyle w:val="null3"/>
            </w:pPr>
            <w:r>
              <w:rPr>
                <w:rFonts w:ascii="仿宋_GB2312" w:hAnsi="仿宋_GB2312" w:cs="仿宋_GB2312" w:eastAsia="仿宋_GB2312"/>
                <w:sz w:val="32"/>
              </w:rPr>
              <w:t>以铜川市</w:t>
            </w:r>
            <w:r>
              <w:rPr>
                <w:rFonts w:ascii="仿宋_GB2312" w:hAnsi="仿宋_GB2312" w:cs="仿宋_GB2312" w:eastAsia="仿宋_GB2312"/>
                <w:sz w:val="32"/>
              </w:rPr>
              <w:t>“十四五”住建领域成果总结为基础，系统梳理老旧小区改造、管网更新、智慧城市建设等方面的实践经验，深入剖析城乡基础设施均衡性不足、部分区域管网老化、公共服务配套不完善等深层次矛盾问题。结合陕西省“十五五”城市基础设施建设、城市更新行动等省级规划导向，客观研判铜川在关中城市群中的定位与发展机遇，锚定高质量转型发展主线，坚持战略目标与战术路径相统一，科学设定发展指标，围绕城市更新、城乡融合、生态宜居、智慧住建等重点板块，提出重大任务、重大工程及重大改革举措，推动住建事业与产业转型、生态保护、民生改善深度融合。</w:t>
            </w:r>
          </w:p>
          <w:p>
            <w:pPr>
              <w:pStyle w:val="null3"/>
              <w:jc w:val="both"/>
            </w:pPr>
            <w:r>
              <w:rPr>
                <w:rFonts w:ascii="仿宋_GB2312" w:hAnsi="仿宋_GB2312" w:cs="仿宋_GB2312" w:eastAsia="仿宋_GB2312"/>
                <w:sz w:val="32"/>
                <w:b/>
              </w:rPr>
              <w:t>（</w:t>
            </w:r>
            <w:r>
              <w:rPr>
                <w:rFonts w:ascii="仿宋_GB2312" w:hAnsi="仿宋_GB2312" w:cs="仿宋_GB2312" w:eastAsia="仿宋_GB2312"/>
                <w:sz w:val="32"/>
                <w:b/>
              </w:rPr>
              <w:t>四</w:t>
            </w:r>
            <w:r>
              <w:rPr>
                <w:rFonts w:ascii="仿宋_GB2312" w:hAnsi="仿宋_GB2312" w:cs="仿宋_GB2312" w:eastAsia="仿宋_GB2312"/>
                <w:sz w:val="32"/>
                <w:b/>
              </w:rPr>
              <w:t>）</w:t>
            </w:r>
            <w:r>
              <w:rPr>
                <w:rFonts w:ascii="仿宋_GB2312" w:hAnsi="仿宋_GB2312" w:cs="仿宋_GB2312" w:eastAsia="仿宋_GB2312"/>
                <w:sz w:val="32"/>
                <w:b/>
              </w:rPr>
              <w:t>项目</w:t>
            </w:r>
            <w:r>
              <w:rPr>
                <w:rFonts w:ascii="仿宋_GB2312" w:hAnsi="仿宋_GB2312" w:cs="仿宋_GB2312" w:eastAsia="仿宋_GB2312"/>
                <w:sz w:val="32"/>
                <w:b/>
              </w:rPr>
              <w:t>服务要求</w:t>
            </w:r>
          </w:p>
          <w:p>
            <w:pPr>
              <w:pStyle w:val="null3"/>
              <w:ind w:firstLine="560"/>
              <w:jc w:val="both"/>
            </w:pPr>
            <w:r>
              <w:rPr>
                <w:rFonts w:ascii="仿宋_GB2312" w:hAnsi="仿宋_GB2312" w:cs="仿宋_GB2312" w:eastAsia="仿宋_GB2312"/>
                <w:sz w:val="32"/>
                <w:b/>
              </w:rPr>
              <w:t>1.</w:t>
            </w:r>
            <w:r>
              <w:rPr>
                <w:rFonts w:ascii="仿宋_GB2312" w:hAnsi="仿宋_GB2312" w:cs="仿宋_GB2312" w:eastAsia="仿宋_GB2312"/>
                <w:sz w:val="32"/>
                <w:b/>
              </w:rPr>
              <w:t>精准提炼核心发展需求：</w:t>
            </w:r>
            <w:r>
              <w:rPr>
                <w:rFonts w:ascii="仿宋_GB2312" w:hAnsi="仿宋_GB2312" w:cs="仿宋_GB2312" w:eastAsia="仿宋_GB2312"/>
                <w:sz w:val="32"/>
              </w:rPr>
              <w:t>以城乡融合发展、民生福祉改善、城市功能品质提升为三大核心方向，结合铜川资源型城市转型特点，采用问卷调查、实地踏勘、座谈访谈、数据核查等多元方式，全面摸清全市市政基础设施、住房保障、公共服务配套、乡村建设等发展基础。重点研判管网改造收尾、停车设施供给、完整社区建设、乡村宜居提质等短板问题，精准识别群众对</w:t>
            </w:r>
            <w:r>
              <w:rPr>
                <w:rFonts w:ascii="仿宋_GB2312" w:hAnsi="仿宋_GB2312" w:cs="仿宋_GB2312" w:eastAsia="仿宋_GB2312"/>
                <w:sz w:val="32"/>
              </w:rPr>
              <w:t>“好房子、好小区、好社区、好城区”的建设需求，系统提炼符合铜川实际、兼具前瞻性与可行性的核心发展诉求。</w:t>
            </w:r>
          </w:p>
          <w:p>
            <w:pPr>
              <w:pStyle w:val="null3"/>
              <w:ind w:firstLine="560"/>
              <w:jc w:val="both"/>
            </w:pPr>
            <w:r>
              <w:rPr>
                <w:rFonts w:ascii="仿宋_GB2312" w:hAnsi="仿宋_GB2312" w:cs="仿宋_GB2312" w:eastAsia="仿宋_GB2312"/>
                <w:sz w:val="32"/>
                <w:b/>
              </w:rPr>
              <w:t>2.</w:t>
            </w:r>
            <w:r>
              <w:rPr>
                <w:rFonts w:ascii="仿宋_GB2312" w:hAnsi="仿宋_GB2312" w:cs="仿宋_GB2312" w:eastAsia="仿宋_GB2312"/>
                <w:sz w:val="32"/>
                <w:b/>
              </w:rPr>
              <w:t>编制双重重点清单：</w:t>
            </w:r>
            <w:r>
              <w:rPr>
                <w:rFonts w:ascii="仿宋_GB2312" w:hAnsi="仿宋_GB2312" w:cs="仿宋_GB2312" w:eastAsia="仿宋_GB2312"/>
                <w:sz w:val="32"/>
              </w:rPr>
              <w:t>依据核心发展需求，结合现有基础设施供给能力与发展短板，参照</w:t>
            </w:r>
            <w:r>
              <w:rPr>
                <w:rFonts w:ascii="仿宋_GB2312" w:hAnsi="仿宋_GB2312" w:cs="仿宋_GB2312" w:eastAsia="仿宋_GB2312"/>
                <w:sz w:val="32"/>
              </w:rPr>
              <w:t>“城市体检引领项目库建设”的工作方法，系统梳理形成重点任务清单，涵盖城市更新、管网升级、生态修复、城乡路网优化、智慧住建等关键领域。同步将任务分解为具体攻坚项目，明确每个项目的建设内容、实施范围、责任主体、时间节点及资金、土地等资源要素需求，建立“任务—项目—要素”联动的重点项目清单，确保规划落地可执行、可考核。</w:t>
            </w:r>
          </w:p>
          <w:p>
            <w:pPr>
              <w:pStyle w:val="null3"/>
              <w:ind w:firstLine="560"/>
              <w:jc w:val="both"/>
            </w:pPr>
            <w:r>
              <w:rPr>
                <w:rFonts w:ascii="仿宋_GB2312" w:hAnsi="仿宋_GB2312" w:cs="仿宋_GB2312" w:eastAsia="仿宋_GB2312"/>
                <w:sz w:val="32"/>
                <w:b/>
              </w:rPr>
              <w:t>3.</w:t>
            </w:r>
            <w:r>
              <w:rPr>
                <w:rFonts w:ascii="仿宋_GB2312" w:hAnsi="仿宋_GB2312" w:cs="仿宋_GB2312" w:eastAsia="仿宋_GB2312"/>
                <w:sz w:val="32"/>
                <w:b/>
              </w:rPr>
              <w:t>完成规划文本编制：</w:t>
            </w:r>
            <w:r>
              <w:rPr>
                <w:rFonts w:ascii="仿宋_GB2312" w:hAnsi="仿宋_GB2312" w:cs="仿宋_GB2312" w:eastAsia="仿宋_GB2312"/>
                <w:sz w:val="32"/>
              </w:rPr>
              <w:t>立足铜川住建事业发展实际，衔接全市转型发展战略，科学确立</w:t>
            </w:r>
            <w:r>
              <w:rPr>
                <w:rFonts w:ascii="仿宋_GB2312" w:hAnsi="仿宋_GB2312" w:cs="仿宋_GB2312" w:eastAsia="仿宋_GB2312"/>
                <w:sz w:val="32"/>
              </w:rPr>
              <w:t>“十五五”时期住建领域发展指导思想、基本原则和量化目标。围绕重点任务清单与项目清单，系统提出实施路径，配套制定政策支持、资金保障、技术支撑、风险防控等保障措施，最终形成逻辑严密、内容完备、贴合实际的《铜川市十五五住房和城乡建设事业发展编制项目》文本，兼顾战略性、实操性与创新性。。</w:t>
            </w:r>
          </w:p>
          <w:p>
            <w:pPr>
              <w:pStyle w:val="null3"/>
              <w:ind w:firstLine="560"/>
              <w:jc w:val="both"/>
            </w:pPr>
            <w:r>
              <w:rPr>
                <w:rFonts w:ascii="仿宋_GB2312" w:hAnsi="仿宋_GB2312" w:cs="仿宋_GB2312" w:eastAsia="仿宋_GB2312"/>
                <w:sz w:val="32"/>
                <w:b/>
              </w:rPr>
              <w:t>4.</w:t>
            </w:r>
            <w:r>
              <w:rPr>
                <w:rFonts w:ascii="仿宋_GB2312" w:hAnsi="仿宋_GB2312" w:cs="仿宋_GB2312" w:eastAsia="仿宋_GB2312"/>
                <w:sz w:val="32"/>
                <w:b/>
              </w:rPr>
              <w:t>支撑规划落地保障工作：</w:t>
            </w:r>
            <w:r>
              <w:rPr>
                <w:rFonts w:ascii="仿宋_GB2312" w:hAnsi="仿宋_GB2312" w:cs="仿宋_GB2312" w:eastAsia="仿宋_GB2312"/>
                <w:sz w:val="32"/>
              </w:rPr>
              <w:t>协助开展规划文本的专家论证工作，广泛征集行业主管部门、区县政府、基层社区及群众代表意见，优化完善规划内容。推动各层面准确把握规划精神，凝聚实施共识，为规划落地奠定良好基础。</w:t>
            </w:r>
          </w:p>
          <w:p>
            <w:pPr>
              <w:pStyle w:val="null3"/>
              <w:jc w:val="both"/>
              <w:outlineLvl w:val="1"/>
            </w:pPr>
            <w:r>
              <w:rPr>
                <w:rFonts w:ascii="仿宋_GB2312" w:hAnsi="仿宋_GB2312" w:cs="仿宋_GB2312" w:eastAsia="仿宋_GB2312"/>
                <w:sz w:val="32"/>
                <w:b/>
              </w:rPr>
              <w:t>（</w:t>
            </w:r>
            <w:r>
              <w:rPr>
                <w:rFonts w:ascii="仿宋_GB2312" w:hAnsi="仿宋_GB2312" w:cs="仿宋_GB2312" w:eastAsia="仿宋_GB2312"/>
                <w:sz w:val="32"/>
                <w:b/>
              </w:rPr>
              <w:t>五</w:t>
            </w:r>
            <w:r>
              <w:rPr>
                <w:rFonts w:ascii="仿宋_GB2312" w:hAnsi="仿宋_GB2312" w:cs="仿宋_GB2312" w:eastAsia="仿宋_GB2312"/>
                <w:sz w:val="32"/>
                <w:b/>
              </w:rPr>
              <w:t>）服务期限：</w:t>
            </w:r>
            <w:r>
              <w:rPr>
                <w:rFonts w:ascii="仿宋_GB2312" w:hAnsi="仿宋_GB2312" w:cs="仿宋_GB2312" w:eastAsia="仿宋_GB2312"/>
                <w:sz w:val="32"/>
                <w:b/>
              </w:rPr>
              <w:t>合同签订后</w:t>
            </w:r>
            <w:r>
              <w:rPr>
                <w:rFonts w:ascii="仿宋_GB2312" w:hAnsi="仿宋_GB2312" w:cs="仿宋_GB2312" w:eastAsia="仿宋_GB2312"/>
                <w:sz w:val="32"/>
                <w:b/>
              </w:rPr>
              <w:t>180</w:t>
            </w:r>
            <w:r>
              <w:rPr>
                <w:rFonts w:ascii="仿宋_GB2312" w:hAnsi="仿宋_GB2312" w:cs="仿宋_GB2312" w:eastAsia="仿宋_GB2312"/>
                <w:sz w:val="32"/>
                <w:b/>
              </w:rPr>
              <w:t>个日历天完成规划编制服务。</w:t>
            </w:r>
          </w:p>
          <w:p>
            <w:pPr>
              <w:pStyle w:val="null3"/>
              <w:jc w:val="both"/>
            </w:pPr>
            <w:r>
              <w:rPr>
                <w:rFonts w:ascii="仿宋_GB2312" w:hAnsi="仿宋_GB2312" w:cs="仿宋_GB2312" w:eastAsia="仿宋_GB2312"/>
                <w:sz w:val="32"/>
                <w:b/>
              </w:rPr>
              <w:t>（</w:t>
            </w:r>
            <w:r>
              <w:rPr>
                <w:rFonts w:ascii="仿宋_GB2312" w:hAnsi="仿宋_GB2312" w:cs="仿宋_GB2312" w:eastAsia="仿宋_GB2312"/>
                <w:sz w:val="32"/>
                <w:b/>
              </w:rPr>
              <w:t>六</w:t>
            </w:r>
            <w:r>
              <w:rPr>
                <w:rFonts w:ascii="仿宋_GB2312" w:hAnsi="仿宋_GB2312" w:cs="仿宋_GB2312" w:eastAsia="仿宋_GB2312"/>
                <w:sz w:val="32"/>
                <w:b/>
              </w:rPr>
              <w:t>）</w:t>
            </w:r>
            <w:r>
              <w:rPr>
                <w:rFonts w:ascii="仿宋_GB2312" w:hAnsi="仿宋_GB2312" w:cs="仿宋_GB2312" w:eastAsia="仿宋_GB2312"/>
                <w:sz w:val="32"/>
                <w:b/>
              </w:rPr>
              <w:t>交付成果</w:t>
            </w:r>
          </w:p>
          <w:p>
            <w:pPr>
              <w:pStyle w:val="null3"/>
              <w:ind w:firstLine="560"/>
              <w:jc w:val="both"/>
            </w:pPr>
            <w:r>
              <w:rPr>
                <w:rFonts w:ascii="仿宋_GB2312" w:hAnsi="仿宋_GB2312" w:cs="仿宋_GB2312" w:eastAsia="仿宋_GB2312"/>
                <w:sz w:val="32"/>
              </w:rPr>
              <w:t>最终交付《铜川市十五五住房和城乡建设事业发展编制项目》规划文本及相关附表，其中纸质版</w:t>
            </w:r>
            <w:r>
              <w:rPr>
                <w:rFonts w:ascii="仿宋_GB2312" w:hAnsi="仿宋_GB2312" w:cs="仿宋_GB2312" w:eastAsia="仿宋_GB2312"/>
                <w:sz w:val="32"/>
              </w:rPr>
              <w:t>6</w:t>
            </w:r>
            <w:r>
              <w:rPr>
                <w:rFonts w:ascii="仿宋_GB2312" w:hAnsi="仿宋_GB2312" w:cs="仿宋_GB2312" w:eastAsia="仿宋_GB2312"/>
                <w:sz w:val="32"/>
              </w:rPr>
              <w:t>份（胶装成册，含签字盖章页），电子版</w:t>
            </w:r>
            <w:r>
              <w:rPr>
                <w:rFonts w:ascii="仿宋_GB2312" w:hAnsi="仿宋_GB2312" w:cs="仿宋_GB2312" w:eastAsia="仿宋_GB2312"/>
                <w:sz w:val="32"/>
              </w:rPr>
              <w:t>1</w:t>
            </w:r>
            <w:r>
              <w:rPr>
                <w:rFonts w:ascii="仿宋_GB2312" w:hAnsi="仿宋_GB2312" w:cs="仿宋_GB2312" w:eastAsia="仿宋_GB2312"/>
                <w:sz w:val="32"/>
              </w:rPr>
              <w:t>份（</w:t>
            </w:r>
            <w:r>
              <w:rPr>
                <w:rFonts w:ascii="仿宋_GB2312" w:hAnsi="仿宋_GB2312" w:cs="仿宋_GB2312" w:eastAsia="仿宋_GB2312"/>
                <w:sz w:val="32"/>
              </w:rPr>
              <w:t>PDF</w:t>
            </w:r>
            <w:r>
              <w:rPr>
                <w:rFonts w:ascii="仿宋_GB2312" w:hAnsi="仿宋_GB2312" w:cs="仿宋_GB2312" w:eastAsia="仿宋_GB2312"/>
                <w:sz w:val="32"/>
              </w:rPr>
              <w:t>格式，含可编辑版本备份）。</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一、工作内容</w:t>
            </w:r>
          </w:p>
          <w:p>
            <w:pPr>
              <w:pStyle w:val="null3"/>
              <w:ind w:firstLine="480"/>
              <w:jc w:val="both"/>
            </w:pPr>
            <w:r>
              <w:rPr>
                <w:rFonts w:ascii="仿宋_GB2312" w:hAnsi="仿宋_GB2312" w:cs="仿宋_GB2312" w:eastAsia="仿宋_GB2312"/>
                <w:sz w:val="24"/>
              </w:rPr>
              <w:t>铜川市农村住房通用图集，为耀州区、印台区、王益区、宜君县各区县分别设计</w:t>
            </w:r>
            <w:r>
              <w:rPr>
                <w:rFonts w:ascii="仿宋_GB2312" w:hAnsi="仿宋_GB2312" w:cs="仿宋_GB2312" w:eastAsia="仿宋_GB2312"/>
                <w:sz w:val="24"/>
              </w:rPr>
              <w:t>3</w:t>
            </w:r>
            <w:r>
              <w:rPr>
                <w:rFonts w:ascii="仿宋_GB2312" w:hAnsi="仿宋_GB2312" w:cs="仿宋_GB2312" w:eastAsia="仿宋_GB2312"/>
                <w:sz w:val="24"/>
              </w:rPr>
              <w:t>个农村住房户型，共</w:t>
            </w:r>
            <w:r>
              <w:rPr>
                <w:rFonts w:ascii="仿宋_GB2312" w:hAnsi="仿宋_GB2312" w:cs="仿宋_GB2312" w:eastAsia="仿宋_GB2312"/>
                <w:sz w:val="24"/>
              </w:rPr>
              <w:t>12</w:t>
            </w:r>
            <w:r>
              <w:rPr>
                <w:rFonts w:ascii="仿宋_GB2312" w:hAnsi="仿宋_GB2312" w:cs="仿宋_GB2312" w:eastAsia="仿宋_GB2312"/>
                <w:sz w:val="24"/>
              </w:rPr>
              <w:t>个户型，各户型包含方案图纸及施工图图纸。</w:t>
            </w:r>
          </w:p>
          <w:p>
            <w:pPr>
              <w:pStyle w:val="null3"/>
              <w:ind w:firstLine="480"/>
              <w:jc w:val="both"/>
            </w:pPr>
            <w:r>
              <w:rPr>
                <w:rFonts w:ascii="仿宋_GB2312" w:hAnsi="仿宋_GB2312" w:cs="仿宋_GB2312" w:eastAsia="仿宋_GB2312"/>
                <w:sz w:val="24"/>
              </w:rPr>
              <w:t>农村住房设计</w:t>
            </w:r>
            <w:r>
              <w:rPr>
                <w:rFonts w:ascii="仿宋_GB2312" w:hAnsi="仿宋_GB2312" w:cs="仿宋_GB2312" w:eastAsia="仿宋_GB2312"/>
                <w:sz w:val="24"/>
              </w:rPr>
              <w:t>应符合《陕西省农村住房建设管理办法》的规定，</w:t>
            </w:r>
            <w:r>
              <w:rPr>
                <w:rFonts w:ascii="仿宋_GB2312" w:hAnsi="仿宋_GB2312" w:cs="仿宋_GB2312" w:eastAsia="仿宋_GB2312"/>
                <w:sz w:val="24"/>
              </w:rPr>
              <w:t>体现地域、民族和乡土特色，</w:t>
            </w:r>
            <w:r>
              <w:rPr>
                <w:rFonts w:ascii="仿宋_GB2312" w:hAnsi="仿宋_GB2312" w:cs="仿宋_GB2312" w:eastAsia="仿宋_GB2312"/>
                <w:sz w:val="24"/>
              </w:rPr>
              <w:t>建议</w:t>
            </w:r>
            <w:r>
              <w:rPr>
                <w:rFonts w:ascii="仿宋_GB2312" w:hAnsi="仿宋_GB2312" w:cs="仿宋_GB2312" w:eastAsia="仿宋_GB2312"/>
                <w:sz w:val="24"/>
              </w:rPr>
              <w:t>采用新型建造技术和绿色建材，</w:t>
            </w:r>
            <w:r>
              <w:rPr>
                <w:rFonts w:ascii="仿宋_GB2312" w:hAnsi="仿宋_GB2312" w:cs="仿宋_GB2312" w:eastAsia="仿宋_GB2312"/>
                <w:sz w:val="24"/>
              </w:rPr>
              <w:t>实现为</w:t>
            </w:r>
            <w:r>
              <w:rPr>
                <w:rFonts w:ascii="仿宋_GB2312" w:hAnsi="仿宋_GB2312" w:cs="仿宋_GB2312" w:eastAsia="仿宋_GB2312"/>
                <w:sz w:val="24"/>
              </w:rPr>
              <w:t>村民建设</w:t>
            </w:r>
            <w:r>
              <w:rPr>
                <w:rFonts w:ascii="仿宋_GB2312" w:hAnsi="仿宋_GB2312" w:cs="仿宋_GB2312" w:eastAsia="仿宋_GB2312"/>
                <w:sz w:val="24"/>
              </w:rPr>
              <w:t>"</w:t>
            </w:r>
            <w:r>
              <w:rPr>
                <w:rFonts w:ascii="仿宋_GB2312" w:hAnsi="仿宋_GB2312" w:cs="仿宋_GB2312" w:eastAsia="仿宋_GB2312"/>
                <w:sz w:val="24"/>
              </w:rPr>
              <w:t>功能现代、结构安全、成本经济、绿色环保、风貌协调</w:t>
            </w:r>
            <w:r>
              <w:rPr>
                <w:rFonts w:ascii="仿宋_GB2312" w:hAnsi="仿宋_GB2312" w:cs="仿宋_GB2312" w:eastAsia="仿宋_GB2312"/>
                <w:sz w:val="24"/>
              </w:rPr>
              <w:t>"</w:t>
            </w:r>
            <w:r>
              <w:rPr>
                <w:rFonts w:ascii="仿宋_GB2312" w:hAnsi="仿宋_GB2312" w:cs="仿宋_GB2312" w:eastAsia="仿宋_GB2312"/>
                <w:sz w:val="24"/>
              </w:rPr>
              <w:t>的现代宜居农房。</w:t>
            </w:r>
          </w:p>
          <w:p>
            <w:pPr>
              <w:pStyle w:val="null3"/>
              <w:jc w:val="both"/>
            </w:pPr>
            <w:r>
              <w:rPr>
                <w:rFonts w:ascii="仿宋_GB2312" w:hAnsi="仿宋_GB2312" w:cs="仿宋_GB2312" w:eastAsia="仿宋_GB2312"/>
                <w:sz w:val="24"/>
              </w:rPr>
              <w:t>二、服务要求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通用图集设计应以</w:t>
            </w:r>
            <w:r>
              <w:rPr>
                <w:rFonts w:ascii="仿宋_GB2312" w:hAnsi="仿宋_GB2312" w:cs="仿宋_GB2312" w:eastAsia="仿宋_GB2312"/>
                <w:sz w:val="24"/>
              </w:rPr>
              <w:t>"</w:t>
            </w:r>
            <w:r>
              <w:rPr>
                <w:rFonts w:ascii="仿宋_GB2312" w:hAnsi="仿宋_GB2312" w:cs="仿宋_GB2312" w:eastAsia="仿宋_GB2312"/>
                <w:sz w:val="24"/>
              </w:rPr>
              <w:t>安全、经济、实用、美观、绿色、智慧</w:t>
            </w:r>
            <w:r>
              <w:rPr>
                <w:rFonts w:ascii="仿宋_GB2312" w:hAnsi="仿宋_GB2312" w:cs="仿宋_GB2312" w:eastAsia="仿宋_GB2312"/>
                <w:sz w:val="24"/>
              </w:rPr>
              <w:t>"</w:t>
            </w:r>
            <w:r>
              <w:rPr>
                <w:rFonts w:ascii="仿宋_GB2312" w:hAnsi="仿宋_GB2312" w:cs="仿宋_GB2312" w:eastAsia="仿宋_GB2312"/>
                <w:sz w:val="24"/>
              </w:rPr>
              <w:t>为设计原则，方案设计应精准契合铜川当地农民住房基本功能需求，注重建筑建造的经济可行性与成本可控性，外观风貌需美观协调且深度体现铜川地域特色与文化传承。</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通用图集设计应切实贴合当地人民群众的居住生活习惯与日常需求，供应商需对铜川市农村农房建设现状开展系统性实地调研，全面掌握各区县居民居住特征及经济多样性需求，确保农房设计真正反映地域生活实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通用图集设计应统筹融合房屋建筑各专业设计内容，涵盖建筑、结构、给排水、电气、智能化、采暖与通风等多专业协同设计，通过跨专业整合优化，推动农房设计向国家</w:t>
            </w:r>
            <w:r>
              <w:rPr>
                <w:rFonts w:ascii="仿宋_GB2312" w:hAnsi="仿宋_GB2312" w:cs="仿宋_GB2312" w:eastAsia="仿宋_GB2312"/>
                <w:sz w:val="24"/>
              </w:rPr>
              <w:t>"</w:t>
            </w:r>
            <w:r>
              <w:rPr>
                <w:rFonts w:ascii="仿宋_GB2312" w:hAnsi="仿宋_GB2312" w:cs="仿宋_GB2312" w:eastAsia="仿宋_GB2312"/>
                <w:sz w:val="24"/>
              </w:rPr>
              <w:t>好房子</w:t>
            </w:r>
            <w:r>
              <w:rPr>
                <w:rFonts w:ascii="仿宋_GB2312" w:hAnsi="仿宋_GB2312" w:cs="仿宋_GB2312" w:eastAsia="仿宋_GB2312"/>
                <w:sz w:val="24"/>
              </w:rPr>
              <w:t>"</w:t>
            </w:r>
            <w:r>
              <w:rPr>
                <w:rFonts w:ascii="仿宋_GB2312" w:hAnsi="仿宋_GB2312" w:cs="仿宋_GB2312" w:eastAsia="仿宋_GB2312"/>
                <w:sz w:val="24"/>
              </w:rPr>
              <w:t>建设标准全面靠拢。</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设计方案应明确界定房屋建筑布局规划、功能尺寸、风格定位、推荐材料选用、工程做法及技术细节等内容，确保设计成果具备可实施性与指导性。</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成果要求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铜川市农村住房</w:t>
            </w:r>
            <w:r>
              <w:rPr>
                <w:rFonts w:ascii="仿宋_GB2312" w:hAnsi="仿宋_GB2312" w:cs="仿宋_GB2312" w:eastAsia="仿宋_GB2312"/>
                <w:sz w:val="24"/>
              </w:rPr>
              <w:t>12</w:t>
            </w:r>
            <w:r>
              <w:rPr>
                <w:rFonts w:ascii="仿宋_GB2312" w:hAnsi="仿宋_GB2312" w:cs="仿宋_GB2312" w:eastAsia="仿宋_GB2312"/>
                <w:sz w:val="24"/>
              </w:rPr>
              <w:t>个户型的方案设计，包含建筑效果图、总平面图、单体平立剖面图。</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铜川市农村住房</w:t>
            </w:r>
            <w:r>
              <w:rPr>
                <w:rFonts w:ascii="仿宋_GB2312" w:hAnsi="仿宋_GB2312" w:cs="仿宋_GB2312" w:eastAsia="仿宋_GB2312"/>
                <w:sz w:val="24"/>
              </w:rPr>
              <w:t>12</w:t>
            </w:r>
            <w:r>
              <w:rPr>
                <w:rFonts w:ascii="仿宋_GB2312" w:hAnsi="仿宋_GB2312" w:cs="仿宋_GB2312" w:eastAsia="仿宋_GB2312"/>
                <w:sz w:val="24"/>
              </w:rPr>
              <w:t>个户型方案的施工图设计，每个方案均应完成</w:t>
            </w:r>
            <w:r>
              <w:rPr>
                <w:rFonts w:ascii="仿宋_GB2312" w:hAnsi="仿宋_GB2312" w:cs="仿宋_GB2312" w:eastAsia="仿宋_GB2312"/>
                <w:sz w:val="24"/>
              </w:rPr>
              <w:t>建筑、结构、给排水、电气</w:t>
            </w:r>
            <w:r>
              <w:rPr>
                <w:rFonts w:ascii="仿宋_GB2312" w:hAnsi="仿宋_GB2312" w:cs="仿宋_GB2312" w:eastAsia="仿宋_GB2312"/>
                <w:sz w:val="24"/>
              </w:rPr>
              <w:t>、智能化</w:t>
            </w:r>
            <w:r>
              <w:rPr>
                <w:rFonts w:ascii="仿宋_GB2312" w:hAnsi="仿宋_GB2312" w:cs="仿宋_GB2312" w:eastAsia="仿宋_GB2312"/>
                <w:sz w:val="24"/>
              </w:rPr>
              <w:t>专业施工图。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根据采购人及采购服务要求供应商自行配置完成本项目所需人员。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根据采购人及采购服务要求供应商自行配置完成本项目所需人员。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根据采购人及采购服务要求供应商自行配置完成本项目所需设备。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根据采购人及采购服务要求供应商自行配置完成本项目所需设备。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合同签订后180个日历天完成规划编制服务。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①质量标准，符合国家行业相关标准。②验收：根据磋商文件要求、磋商响应文件及合同约定执行。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①质量标准，符合国家行业相关标准。②验收：根据磋商文件要求、磋商响应文件及合同约定执行。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自合同签订之日起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形成初步成果并通过专家审查后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形成报批成果并通过专家审查后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自合同签订之日起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形成初步成果并通过甲方验收合格后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形成最终成果并通过甲方验收合格交付后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依据《中华人民共和国民法典》、《中华人民共和国政府采购法》的相关条例和本合同约定的相关条款执行。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依据《中华人民共和国民法典》、《中华人民共和国政府采购法》的相关条例和本合同约定的相关条款执行。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一、报价要求：1.报价需包含完成本项目所有服务的全部费用. 2.报价应真实合理，不得虚报、瞒报，否则视为无效报价。二、其他要求：本项目共划分2个采购包，项目执行“兼投不兼中”原则：供应商可对任意1个或多个采购包同时投标，但最多只能中选其中1个采购包；若供应商在多个采购包中均符合中选条件，则按磋商文件采购包的先后顺序确定中选供应商，其余采购包自动失去中选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或2024年度的财务报告（财务审计报告需附带财政部注册会计师行业统一监管平台备案的二维码及报告编码、在财政部注册会计师行业统一监管平台可查询，(内容包括审计报告、资产负债表、利润表、现金流量表、所有者权益变动表、附注等全部内容，成立时间至提交响应（投标）文件截止时间不足一年的需提供成立后任意时段的资产负债表及利润表)及财务情况说明书；或提供获取磋商文件开始至提交响应（投标）文件递交截止时间内基本开户银行出具的资信证明（以开具时间为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或2024年度的财务报告（财务审计报告需附带财政部注册会计师行业统一监管平台备案的二维码及报告编码、在财政部注册会计师行业统一监管平台可查询，报告内容包括(审计报告、资产负债表、利润表、现金流量表、所有者权益变动表、附注等全部内容，成立时间至提交响应（投标）文件截止时间不足一年的需提供成立后任意时段的资产负债表及利润表)及财务情况说明书；或提供获取磋商文件开始至提交响应（投标）文件递交截止时间内基本开户银行出具的资信证明（以开具时间为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 (财库(2006〕90号)、国务院办公厅《关于建立政府强制采购节能产品制度的通知》(国办发〔2007〕51号)、财政部、国家发改委、生态环境部、市监局联合印发《关于调整优化节能产品、环境标志产品政府采 购执行机制的通知》(财库〔2019〕9号);(4)《陕西省财政厅关于加快推进我省中小企业政府采购信用融 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(3)财政部、国家发展改革委《关于印发〈节能产品政府采购实施意见〉的通知》 (财库〔2004〕185号)、财政部、国家环保总局联合印发《关于环境标志产品政府采购实施的意见》 (财库(2006〕90号)、国务院办公厅《关于建立政府强制采购节能产品制度的通知》(国办发〔2007〕51号)、财政部、国家发改委、生态环境部、市监局联合印发《关于调整优化节能产品、环境标志产品政府采 购执行机制的通知》(财库〔2019〕9号);(4)《陕西省财政厅关于加快推进我省中小企业政府采购信用融 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营业执照等主体证明文件</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起前六个月任意一个月的纳税证明或完税证明，纳税证明或完税证明上应有代收机构或税务机关的完整红色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起前六个月内任意连续三个月的社会保障资金缴存凭证或社保机构开具的社会保险参保证明或完税证明，社会保障资金缴存凭证或社保机构开具的社会保险参保证明或完税证明上应有代收机构或税务机关的完整红色公章或业务专用章，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响应文件递交截止时间之前，供应商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供应商控股、管理关系说明；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提供单位负责人为同一人或者存在直接控股、管理关系的不同供应商，不得参加同一合同包的政府采购活动的承诺函。供应商需在项目电子化交易系统中按要求上传相应证明文件并进行电子签章。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供应商须具备国家主管部门颁发的城乡规划编制甲级企业资质（资质证书在有效期内）。供应商需在项目电子化交易系统中按要求上传相应证明文件并进行电子签章。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营业执照等主体证明文件</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起前六个月任意一个月的纳税证明或完税证明，纳税证明或完税证明上应有代收机构或税务机关的完整红色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起前六个月任意连续三个月的社会保障资金缴存凭证或社保机构开具的社会保险参保证明或完税证明，社会保障资金缴存凭证或社保机构开具的社会保险参保证明或完税证明上应有代收机构或税务机关的完整红色公章或业务专用章，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响应文件递交截止时间之前，供应商未被“信用中国”网站列入失信被执行人、重大税收违法失信主体名单，未被“中国政府采购网”网站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供应商须具有国家行政主管部门颁发的工程设计建筑行业（建筑工程）专业乙级及以上资质证书（资质证书在有效期内）；供应商需在项目电子化交易系统中按要求上传相应证明文件并进行电子签章。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供应商控股、管理关系说明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提供单位负责人为同一人或者存在直接控股、管理关系的不同供应商，不得参加同一合同包的政府采购活动的承诺函。供应商需在项目电子化交易系统中按要求上传相应证明文件并进行电子签章。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授权人签名（或盖章），其余页面逐页盖公章，否则将作为无效响应文件处理。磋商文件及响应文件凡是要求法定代表人签名或盖章之处，非法人单位的负责人参照执行。</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响应文件封面 法人授权书.docx 残疾人福利性单位声明函 服务方案 标的清单 其他资料.docx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投标（响应）文件所有报价未超过采购限额</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 服务方案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自首次递交响应文件之日起90日历天</w:t>
            </w:r>
          </w:p>
        </w:tc>
        <w:tc>
          <w:tcPr>
            <w:tcW w:type="dxa" w:w="1661"/>
          </w:tcPr>
          <w:p>
            <w:pPr>
              <w:pStyle w:val="null3"/>
            </w:pPr>
            <w:r>
              <w:rPr>
                <w:rFonts w:ascii="仿宋_GB2312" w:hAnsi="仿宋_GB2312" w:cs="仿宋_GB2312" w:eastAsia="仿宋_GB2312"/>
              </w:rPr>
              <w:t>法人授权书.docx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法人证明书.docx 服务内容及服务邀请应答表 供应商类似项目业绩一览表.docx 中小企业声明函 商务应答表 供应商应提交的相关资格证明材料 响应文件封面 法人授权书.docx 残疾人福利性单位声明函 服务方案 标的清单 其他资料.docx 人员配备一览表.docx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或由法定代表人或授权人签名（或盖章），其余页面逐页盖公章，否则将作为无效响应文件处理。磋商文件及响应文件凡是要求法定代表人签名或盖章之处，非法人单位的负责人参照执行。</w:t>
            </w:r>
          </w:p>
        </w:tc>
        <w:tc>
          <w:tcPr>
            <w:tcW w:type="dxa" w:w="1661"/>
          </w:tcPr>
          <w:p>
            <w:pPr>
              <w:pStyle w:val="null3"/>
            </w:pPr>
            <w:r>
              <w:rPr>
                <w:rFonts w:ascii="仿宋_GB2312" w:hAnsi="仿宋_GB2312" w:cs="仿宋_GB2312" w:eastAsia="仿宋_GB2312"/>
              </w:rPr>
              <w:t>法人证明书.docx 服务内容及服务邀请应答表 中小企业声明函 商务应答表 供应商应提交的相关资格证明材料 响应文件封面 法人授权书.docx 残疾人福利性单位声明函 服务方案 标的清单 其他资料.docx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投标（响应）文件所有报价未超过采购限额</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 服务方案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自首次递交响应文件之日起90日历天</w:t>
            </w:r>
          </w:p>
        </w:tc>
        <w:tc>
          <w:tcPr>
            <w:tcW w:type="dxa" w:w="1661"/>
          </w:tcPr>
          <w:p>
            <w:pPr>
              <w:pStyle w:val="null3"/>
            </w:pPr>
            <w:r>
              <w:rPr>
                <w:rFonts w:ascii="仿宋_GB2312" w:hAnsi="仿宋_GB2312" w:cs="仿宋_GB2312" w:eastAsia="仿宋_GB2312"/>
              </w:rPr>
              <w:t>法人授权书.docx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A、供应商的响应报价有选择性报价或者磋商报价重新计算后超过本项目采购预算或者最高限价的； B、供应商未经过正常渠道领取招标文件，或供应商名称与领取招标文件时登记的供应商名称不符的； C、无投标有效期或有效期达不到招标文件要求的； D、供应商针对同一项目递交两份或多份内容不同的响应文件，未书面声明哪一份是有效的或出现选择性报价的； E、提供虚假资料；提供虚假资质、虚假技术 指标证明材料、虚假证明（包括第三方提供的虚假证明）；出现虚假应答、承诺、声明的； F、供应商附加了采购单位难以接受的条件或条款的； G、供应商前期参与了本次项目方案设计的； H、在政府采购或其它重大项目履约过程中有不良记录或未能按期履约的； I、供应商使用虚假印章或印章无法证实为真实有效； J、投标报价与市场价格偏离较大、低于成本、形成不正当竞争的； K、报价子目出现漏项或报价与要求不符的； L、供应商响应的采购范围及采购内容与招标文件要求出现重大负偏差的； M、实质性内容不满足、未完全未响应招标要求或擅自改动工程量清单的； N、供应商有串通参与投标、行贿等违法行为的； O、响应文件的关键内容字迹模糊、无法辨认的； P、不符合法律、法规规定的其它实质性要求的。</w:t>
            </w:r>
          </w:p>
        </w:tc>
        <w:tc>
          <w:tcPr>
            <w:tcW w:type="dxa" w:w="1661"/>
          </w:tcPr>
          <w:p>
            <w:pPr>
              <w:pStyle w:val="null3"/>
            </w:pPr>
            <w:r>
              <w:rPr>
                <w:rFonts w:ascii="仿宋_GB2312" w:hAnsi="仿宋_GB2312" w:cs="仿宋_GB2312" w:eastAsia="仿宋_GB2312"/>
              </w:rPr>
              <w:t>法人证明书.docx 服务内容及服务邀请应答表 中小企业声明函 商务应答表 供应商应提交的相关资格证明材料 响应文件封面 法人授权书.docx 残疾人福利性单位声明函 服务方案 标的清单 其他资料.docx 人员配备一览表.docx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项目背景分析</w:t>
            </w:r>
          </w:p>
        </w:tc>
        <w:tc>
          <w:tcPr>
            <w:tcW w:type="dxa" w:w="2492"/>
          </w:tcPr>
          <w:p>
            <w:pPr>
              <w:pStyle w:val="null3"/>
            </w:pPr>
            <w:r>
              <w:rPr>
                <w:rFonts w:ascii="仿宋_GB2312" w:hAnsi="仿宋_GB2312" w:cs="仿宋_GB2312" w:eastAsia="仿宋_GB2312"/>
              </w:rPr>
              <w:t>项目背景分析内容包括①项目定位（衔接国家、陕西省住建战略及铜川资源型城市转型需求）；②“十四五”住建核心成果（聚焦老旧小区改造、管网更新、生态园林创建等关键领域）；③重点短板问题（针对基础设施均衡性、公共服务配套等核心矛盾）。阐述准确、全面、深入、透彻得12分；评审内容每缺一项扣4分,扣完为止；每有一项要求的方案内容有一处错误的(错误是指：对同一问题前后表述矛盾的，或逻辑错误的，或缺少关键节点，或涉及的规范及标准错误，或表述内容不完整，或不利于项目实施、不可能实现的情形等任意一种情形)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方案内容包括①分析面临的机遇、挑战；②发展指导思想；③主要目标；④重点任务和重大举措。通过分析当前国内外形势，深入分析铜川市“十五五”时期经济社会发展面临的机遇和挑战，明确铜川市“十五五”时期经济社会发展指导思想、主要目标、重点任务和重大举措，阐述准确、全面、深入、透彻得32分，评审内容缺一项扣8分,扣完为止；每有一项要求的方案内容有一处错误的(错误是指：对同一问题前后表述矛盾的，或逻辑错误的，或缺少关键节点，或涉及的规范及标准错误，或表述内容不完整，或不利于项目实施、不可能实现的情形等任意一种情形)的，一处扣1.5分，扣完为止；每有一项要求的方案内容有一处描述不切合项目实际的，一处扣4分，扣完为止。不提供方案的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项目实施进度计划内容包括①实施进度方案；②进度保障措施；③工作阶段任务划分。以上内容专门针对本项目且阐述明细、全面、合理、进度安排科学合理，关键时间点把握准确得9分，评审内容缺一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的，一处扣1分，扣完为止；每有一项要求的方案内容有一处描述不切合项目实际的，一处扣1.5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质量保证措施内容包括①质量目标；②质量保障措施； ③成果文件质量控制措施；④进度保障措施。以上内容专门针对本项目且阐述明细、全面、合理得8分，每缺一项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1、拟派项目负责人同时具备城乡规划类相关专业高级技术职称及注册城乡规划师资格证的得3分；项目负责人只具备具有城乡规划类相关专业高级技术职称的得2分，只具备注册城乡规划师资格的得1分； 2、除项目负责人外项目其他人员具有城乡规划类相关专业高级职称的1个得2分，满分6分，具有城乡规划类相关专业中级职称及注册城乡规划师资格证的1个得1分，满分4分。同一人员具备多项证书的，按最高分值计分，不重复累计（注：相关人员需提供有效期内的证书、近三个月社保证明、身份证复印件或扫描件加盖供应商公章，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人员职务分配</w:t>
            </w:r>
          </w:p>
        </w:tc>
        <w:tc>
          <w:tcPr>
            <w:tcW w:type="dxa" w:w="2492"/>
          </w:tcPr>
          <w:p>
            <w:pPr>
              <w:pStyle w:val="null3"/>
            </w:pPr>
            <w:r>
              <w:rPr>
                <w:rFonts w:ascii="仿宋_GB2312" w:hAnsi="仿宋_GB2312" w:cs="仿宋_GB2312" w:eastAsia="仿宋_GB2312"/>
              </w:rPr>
              <w:t>人员职务分配①组织机构设置方案②团队的职能分工及职责划分方案。机构设置合理、团队人员职责划分明确、团队配置满足项目情况及需要，人员专业能力能有效保障项目服务质量，内容描述详细，架构清晰的得6分。评审内容每缺一项扣3分，扣完为止；每有一项要求的方案内容有一处错误的(错误是指：对同一问题前后表述矛盾的，或逻辑错误的，或缺少关键节点，或涉及的规范及标准错误，或表述内容不完整，或不利于项目实施、不可能实现的情形等任意一种情形) 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项目业绩（提供合同复印件加盖供应商公章，以合同签订日期为准），每提供一份类似业绩得2分，最高得10分。若提供虚假业绩，一经发现，按无效磋商处理。类似项目是指，和本采购包采购内容类似的项目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任本项目的项目负责人具备国家一级注册建筑师或一级注册结构工程师执业资格及相关专业高级技术职称的得4分；拟任本项目的项目负责人具备国家一级注册建筑师或一级注册结构工程师执业资格或相关专业高级技术职称得2分。 2.拟任本项目的项目组人员(项目负责人除外)中每有一名相关专业国家一级注册工程师得2分，最多得6分； 3.拟任本项目的项目组人员(项目负责人除外)中具备相关专业中级及以上技术职称的成员得1分，最多得4分。 注：以上人员均不重复计分。（注：提供有效期内的证书、近三个月本单位缴纳的社保证明、身份证复印件或扫描件加盖供应商公章，不提供不得分）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农村住房建设图集（共计28分）包括：①项目概述。②现状分析。③设计理念。④设计方案。⑤实施保障。以上第①②③⑤内容完整且符合本项目采购需求的每项得4分，每缺少一项内容的扣4分，每有一处有缺陷扣1.5分，扣完为止；第④项每提供一种完整的设计方案得4分，最多得12分。每有一处有缺陷扣1.5分，扣完为止。2、农房图集施工图保障措施(共计20分)包括：①方案成本控制措施。②技术服务及保障措施。③设计图纸出图周期及保障措施。④图纸质量管理控制措施等。内容完整且符合本项目采购需求的每一项得5分，每缺少一项内容的扣5分，每有一处有缺陷扣1.5分，扣完为止。3、后期保障措施（共计9分）内容包括①投入本项目人员架构。②工作任务分工及职责。③工作成果送审机制。内容完整且符合本项目采购需求的每项得3分，每缺少一项内容的扣3分，每有一处有缺陷扣1分，扣完为止。注：内容缺陷是指：供应商提供的内容出现与项目无关或与项目要求不匹配或脱离项目实际情况或项目名称、实施地点、涉及的规范、技术服务要求与本项目不一致，方案内容存在凭空想象与编造、内容与实际实施存在差异性，工作组织无条理性、计划安排混乱、语义表述不清，存在歧义、混乱，内容过于简略、不符合实际需求、不利于项目实施等情况。</w:t>
            </w:r>
          </w:p>
        </w:tc>
        <w:tc>
          <w:tcPr>
            <w:tcW w:type="dxa" w:w="831"/>
          </w:tcPr>
          <w:p>
            <w:pPr>
              <w:pStyle w:val="null3"/>
              <w:jc w:val="right"/>
            </w:pPr>
            <w:r>
              <w:rPr>
                <w:rFonts w:ascii="仿宋_GB2312" w:hAnsi="仿宋_GB2312" w:cs="仿宋_GB2312" w:eastAsia="仿宋_GB2312"/>
              </w:rPr>
              <w:t>57.0000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技术创新与适配性</w:t>
            </w:r>
          </w:p>
        </w:tc>
        <w:tc>
          <w:tcPr>
            <w:tcW w:type="dxa" w:w="2492"/>
          </w:tcPr>
          <w:p>
            <w:pPr>
              <w:pStyle w:val="null3"/>
            </w:pPr>
            <w:r>
              <w:rPr>
                <w:rFonts w:ascii="仿宋_GB2312" w:hAnsi="仿宋_GB2312" w:cs="仿宋_GB2312" w:eastAsia="仿宋_GB2312"/>
              </w:rPr>
              <w:t>1. 设计理念创新（共计4分）：深度结合乡村振兴、绿色低碳、智慧农房等前沿理念，提出适配本项目的前瞻性设计思路；内容完整且符合本项目的得4分，每有一处有缺陷扣1.5分，未提供不得分。 2. 技术应用创新（9分）：采用新型环保节能材料、模块化设计、智能节能系统集成等，每提供1项实质性创新（需说明应用场景、技术优势及落地路径）内容完整且符合本项目的每有1项得3分、最多得9分，每有一处有缺陷扣1分、扣完为止，未提供不得分。 3. 地域适配创新（6分）：针对项目所在地气候、地质、民俗文化、产业特色等，创新设计适配方案（如抗震防潮优化、乡土材料创新应用、民俗元素融合设计）内容完整且符合本项目的得6分，每有一处有缺陷扣1.5分，未提供不得分。 注：内容缺陷是指：供应商提供的内容出现与项目无关或与项目要求不匹配或脱离项目实际情况或项目名称、实施地点、涉及的规范、技术服务要求与本项目不一致，方案内容存在凭空想象与编造、内容与实际实施存在差异性，工作组织无条理性、计划安排混乱、语义表述不清，存在歧义、混乱，内容过于简略、不符合实际需求、不利于项目实施等情况。</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磋商报价最低的磋商价格为磋商基准价，其价格分为满分。其他供应商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