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版本号：2026-HXCT-10320260304001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甲状腺病院改造提升项目备用电源及相关配套采购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2026-HXCT-103</w:t>
      </w:r>
      <w:r>
        <w:br/>
      </w:r>
      <w:r>
        <w:br/>
      </w:r>
      <w:r>
        <w:br/>
      </w:r>
    </w:p>
    <w:p>
      <w:pPr>
        <w:pStyle w:val="null3"/>
        <w:jc w:val="center"/>
        <w:outlineLvl w:val="2"/>
      </w:pPr>
      <w:r>
        <w:rPr>
          <w:rFonts w:ascii="仿宋_GB2312" w:hAnsi="仿宋_GB2312" w:cs="仿宋_GB2312" w:eastAsia="仿宋_GB2312"/>
          <w:sz w:val="28"/>
          <w:b/>
        </w:rPr>
        <w:t>北京中医药大学孙思邈医院</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北京中医药大学孙思邈医院</w:t>
      </w:r>
      <w:r>
        <w:rPr>
          <w:rFonts w:ascii="仿宋_GB2312" w:hAnsi="仿宋_GB2312" w:cs="仿宋_GB2312" w:eastAsia="仿宋_GB2312"/>
        </w:rPr>
        <w:t>委托，拟对</w:t>
      </w:r>
      <w:r>
        <w:rPr>
          <w:rFonts w:ascii="仿宋_GB2312" w:hAnsi="仿宋_GB2312" w:cs="仿宋_GB2312" w:eastAsia="仿宋_GB2312"/>
        </w:rPr>
        <w:t>甲状腺病院改造提升项目备用电源及相关配套采购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2026-HXCT-103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甲状腺病院改造提升项目备用电源及相关配套采购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甲状腺病院改造提升项目备用电源及相关配套采购，具体采购要求详见本项目竞争性谈判文件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1、有效的资格主体证明：能力的法人、其他组织或自然人，并出具合法有效的营业执照或事业单位法人证书等国家规定的相关证明，自然人参与的提供其身份证明。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或授权委托人资格要求：供应商为法人单位的）法定代表人亲自参加投标时，须提供本人身份证复印件；法定代表人授权他人参加投标时，须提供法定代表人委托授权书，同时提供被授权代表开标前六月内任意一个月在投标人单位的社保缴纳证明材料。（投标人为非法人单位的）投标文件中凡是需要法定代表人签字或盖章之处，非法人单位的负责人均参照执行。</w:t>
      </w:r>
    </w:p>
    <w:p>
      <w:pPr>
        <w:pStyle w:val="null3"/>
      </w:pPr>
      <w:r>
        <w:rPr>
          <w:rFonts w:ascii="仿宋_GB2312" w:hAnsi="仿宋_GB2312" w:cs="仿宋_GB2312" w:eastAsia="仿宋_GB2312"/>
        </w:rPr>
        <w:t>3、供应商信用要求：供应商未被“信用中国”网站（www.creditchina.gov.cn列入失信被执行人和重大税收违法失信主体，未被中国政府采购网（www.ccgp.gov.cn）列入政府采购严重违法失信行为记录名单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4、财务状况报告：提供经审计的2024年度（或2025年度）的财务报告或提交磋商响应文件截止时间前六个月内其基本账户开户银行出具的资信证明；其他组织和自然人提供银行出具的资信证明或财务报表；供应商需在项目电子化交易系统中按要求提供相关证明材料并进行电子签章。</w:t>
      </w:r>
    </w:p>
    <w:p>
      <w:pPr>
        <w:pStyle w:val="null3"/>
      </w:pPr>
      <w:r>
        <w:rPr>
          <w:rFonts w:ascii="仿宋_GB2312" w:hAnsi="仿宋_GB2312" w:cs="仿宋_GB2312" w:eastAsia="仿宋_GB2312"/>
        </w:rPr>
        <w:t>5、社会保障资金缴纳证明：提供2025年3月至今任意一个月已缴存的社会保障资金缴存单据或社保机构开具的社会保险参保缴费证明，依法不需要缴纳社会保障资金的单位应提供相关证明材料；供应商需在项目电子化交易系统中按要求提供相关证明材料并进行电子签章。</w:t>
      </w:r>
    </w:p>
    <w:p>
      <w:pPr>
        <w:pStyle w:val="null3"/>
      </w:pPr>
      <w:r>
        <w:rPr>
          <w:rFonts w:ascii="仿宋_GB2312" w:hAnsi="仿宋_GB2312" w:cs="仿宋_GB2312" w:eastAsia="仿宋_GB2312"/>
        </w:rPr>
        <w:t>6、税收缴纳证明：提供2025年3月至今任意一个月的纳税证明或税务机关开具的完税证明，依法免税的单位应提供相关证明材料；供应商需在项目电子化交易系统中按要求提供相关证明材料并进行电子签章。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北京中医药大学孙思邈医院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陕西省铜川市新区长虹北路26号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0919-8181243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薛梅梅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029-89605595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采购包1：355,780.13元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招标代理服务收费管理暂行办法的通知》（计价格【2002】1980号）和国家发改委办公厅颁发的《关于招标代理服务收费有关问题的通知》（发改办价格【2003】857号）文件规定标准向中标人收取招标代理服务费。 账户名称：华夏城投项目管理有限公司 开 户 行：工商银行延安南关支行 账 号：2609080309024803489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北京中医药大学孙思邈医院</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北京中医药大学孙思邈医院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北京中医药大学孙思邈医院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华夏城投项目管理有限公司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联系人：薛梅梅</w:t>
      </w:r>
    </w:p>
    <w:p>
      <w:pPr>
        <w:pStyle w:val="null3"/>
      </w:pPr>
      <w:r>
        <w:rPr>
          <w:rFonts w:ascii="仿宋_GB2312" w:hAnsi="仿宋_GB2312" w:cs="仿宋_GB2312" w:eastAsia="仿宋_GB2312"/>
        </w:rPr>
        <w:t>联系电话：029-89605595</w:t>
      </w:r>
    </w:p>
    <w:p>
      <w:pPr>
        <w:pStyle w:val="null3"/>
      </w:pPr>
      <w:r>
        <w:rPr>
          <w:rFonts w:ascii="仿宋_GB2312" w:hAnsi="仿宋_GB2312" w:cs="仿宋_GB2312" w:eastAsia="仿宋_GB2312"/>
        </w:rPr>
        <w:t>地址：陕西省西安市未央区西安经济技术开发区凤城七路长和国际D座26层</w:t>
      </w:r>
    </w:p>
    <w:p>
      <w:pPr>
        <w:pStyle w:val="null3"/>
      </w:pPr>
      <w:r>
        <w:rPr>
          <w:rFonts w:ascii="仿宋_GB2312" w:hAnsi="仿宋_GB2312" w:cs="仿宋_GB2312" w:eastAsia="仿宋_GB2312"/>
        </w:rPr>
        <w:t>邮编：710010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甲状腺病院改造提升项目备用电源级相关配套采购，具体详见本项目竞争性谈判文件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355,780.13</w:t>
      </w:r>
    </w:p>
    <w:p>
      <w:pPr>
        <w:pStyle w:val="null3"/>
      </w:pPr>
      <w:r>
        <w:rPr>
          <w:rFonts w:ascii="仿宋_GB2312" w:hAnsi="仿宋_GB2312" w:cs="仿宋_GB2312" w:eastAsia="仿宋_GB2312"/>
        </w:rPr>
        <w:t>采购包最高限价（元）: 355,780.13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户外防水一体式柴油发电机组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154,211.26</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电缆和桥架及配管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137,109.78</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辅料及其它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64,459.09</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标的名称：户外防水一体式柴油发电机组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333333"/>
              </w:rPr>
              <w:t>（一）户外防水</w:t>
            </w:r>
            <w:r>
              <w:rPr>
                <w:rFonts w:ascii="仿宋_GB2312" w:hAnsi="仿宋_GB2312" w:cs="仿宋_GB2312" w:eastAsia="仿宋_GB2312"/>
                <w:sz w:val="21"/>
                <w:color w:val="333333"/>
              </w:rPr>
              <w:t>一体式柴</w:t>
            </w:r>
            <w:r>
              <w:rPr>
                <w:rFonts w:ascii="仿宋_GB2312" w:hAnsi="仿宋_GB2312" w:cs="仿宋_GB2312" w:eastAsia="仿宋_GB2312"/>
                <w:sz w:val="21"/>
                <w:color w:val="333333"/>
              </w:rPr>
              <w:t>油发电机组(1台）</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技术项</w:t>
                  </w:r>
                </w:p>
              </w:tc>
              <w:tc>
                <w:tcPr>
                  <w:tcW w:type="dxa" w:w="1276"/>
                </w:tcPr>
                <w:p>
                  <w:pPr>
                    <w:pStyle w:val="null3"/>
                    <w:jc w:val="center"/>
                  </w:pPr>
                  <w:r>
                    <w:rPr>
                      <w:rFonts w:ascii="仿宋_GB2312" w:hAnsi="仿宋_GB2312" w:cs="仿宋_GB2312" w:eastAsia="仿宋_GB2312"/>
                    </w:rPr>
                    <w:t>技术参数要求</w:t>
                  </w:r>
                </w:p>
              </w:tc>
            </w:tr>
            <w:tr>
              <w:tc>
                <w:tcPr>
                  <w:tcW w:type="dxa" w:w="1276"/>
                </w:tcPr>
                <w:p>
                  <w:pPr>
                    <w:pStyle w:val="null3"/>
                  </w:pPr>
                  <w:r>
                    <w:rPr>
                      <w:rFonts w:ascii="仿宋_GB2312" w:hAnsi="仿宋_GB2312" w:cs="仿宋_GB2312" w:eastAsia="仿宋_GB2312"/>
                    </w:rPr>
                    <w:t>额定功率</w:t>
                  </w:r>
                </w:p>
              </w:tc>
              <w:tc>
                <w:tcPr>
                  <w:tcW w:type="dxa" w:w="1276"/>
                </w:tcPr>
                <w:p>
                  <w:pPr>
                    <w:pStyle w:val="null3"/>
                  </w:pPr>
                  <w:r>
                    <w:rPr>
                      <w:rFonts w:ascii="仿宋_GB2312" w:hAnsi="仿宋_GB2312" w:cs="仿宋_GB2312" w:eastAsia="仿宋_GB2312"/>
                      <w:sz w:val="21"/>
                      <w:color w:val="333333"/>
                    </w:rPr>
                    <w:t>≥250KW（备</w:t>
                  </w:r>
                  <w:r>
                    <w:rPr>
                      <w:rFonts w:ascii="仿宋_GB2312" w:hAnsi="仿宋_GB2312" w:cs="仿宋_GB2312" w:eastAsia="仿宋_GB2312"/>
                      <w:sz w:val="21"/>
                      <w:color w:val="333333"/>
                    </w:rPr>
                    <w:t xml:space="preserve">用功率 ≥280KW）， </w:t>
                  </w:r>
                  <w:r>
                    <w:rPr>
                      <w:rFonts w:ascii="仿宋_GB2312" w:hAnsi="仿宋_GB2312" w:cs="仿宋_GB2312" w:eastAsia="仿宋_GB2312"/>
                      <w:sz w:val="21"/>
                      <w:color w:val="333333"/>
                    </w:rPr>
                    <w:t>380V/50Hz，±5%，三</w:t>
                  </w:r>
                  <w:r>
                    <w:rPr>
                      <w:rFonts w:ascii="仿宋_GB2312" w:hAnsi="仿宋_GB2312" w:cs="仿宋_GB2312" w:eastAsia="仿宋_GB2312"/>
                      <w:sz w:val="21"/>
                      <w:color w:val="333333"/>
                    </w:rPr>
                    <w:t>相四线制</w:t>
                  </w:r>
                </w:p>
              </w:tc>
            </w:tr>
            <w:tr>
              <w:tc>
                <w:tcPr>
                  <w:tcW w:type="dxa" w:w="1276"/>
                </w:tcPr>
                <w:p>
                  <w:pPr>
                    <w:pStyle w:val="null3"/>
                  </w:pPr>
                  <w:r>
                    <w:rPr>
                      <w:rFonts w:ascii="仿宋_GB2312" w:hAnsi="仿宋_GB2312" w:cs="仿宋_GB2312" w:eastAsia="仿宋_GB2312"/>
                      <w:sz w:val="21"/>
                      <w:color w:val="333333"/>
                    </w:rPr>
                    <w:t>配套组件</w:t>
                  </w:r>
                </w:p>
              </w:tc>
              <w:tc>
                <w:tcPr>
                  <w:tcW w:type="dxa" w:w="1276"/>
                </w:tcPr>
                <w:p>
                  <w:pPr>
                    <w:pStyle w:val="null3"/>
                  </w:pPr>
                  <w:r>
                    <w:rPr>
                      <w:rFonts w:ascii="仿宋_GB2312" w:hAnsi="仿宋_GB2312" w:cs="仿宋_GB2312" w:eastAsia="仿宋_GB2312"/>
                      <w:sz w:val="21"/>
                      <w:color w:val="333333"/>
                    </w:rPr>
                    <w:t>自</w:t>
                  </w:r>
                  <w:r>
                    <w:rPr>
                      <w:rFonts w:ascii="仿宋_GB2312" w:hAnsi="仿宋_GB2312" w:cs="仿宋_GB2312" w:eastAsia="仿宋_GB2312"/>
                      <w:sz w:val="21"/>
                      <w:color w:val="333333"/>
                    </w:rPr>
                    <w:t>带配出屏，含 ATS 自</w:t>
                  </w:r>
                  <w:r>
                    <w:rPr>
                      <w:rFonts w:ascii="仿宋_GB2312" w:hAnsi="仿宋_GB2312" w:cs="仿宋_GB2312" w:eastAsia="仿宋_GB2312"/>
                      <w:sz w:val="21"/>
                      <w:color w:val="333333"/>
                    </w:rPr>
                    <w:t>动转换开关（与机组功</w:t>
                  </w:r>
                  <w:r>
                    <w:rPr>
                      <w:rFonts w:ascii="仿宋_GB2312" w:hAnsi="仿宋_GB2312" w:cs="仿宋_GB2312" w:eastAsia="仿宋_GB2312"/>
                      <w:sz w:val="21"/>
                      <w:color w:val="333333"/>
                    </w:rPr>
                    <w:t>率匹配）</w:t>
                  </w:r>
                </w:p>
              </w:tc>
            </w:tr>
            <w:tr>
              <w:tc>
                <w:tcPr>
                  <w:tcW w:type="dxa" w:w="1276"/>
                </w:tcPr>
                <w:p>
                  <w:pPr>
                    <w:pStyle w:val="null3"/>
                  </w:pPr>
                  <w:r>
                    <w:rPr>
                      <w:rFonts w:ascii="仿宋_GB2312" w:hAnsi="仿宋_GB2312" w:cs="仿宋_GB2312" w:eastAsia="仿宋_GB2312"/>
                      <w:sz w:val="21"/>
                      <w:color w:val="333333"/>
                    </w:rPr>
                    <w:t xml:space="preserve">核心部件要 </w:t>
                  </w:r>
                  <w:r>
                    <w:rPr>
                      <w:rFonts w:ascii="仿宋_GB2312" w:hAnsi="仿宋_GB2312" w:cs="仿宋_GB2312" w:eastAsia="仿宋_GB2312"/>
                      <w:sz w:val="21"/>
                      <w:color w:val="333333"/>
                    </w:rPr>
                    <w:t>求</w:t>
                  </w:r>
                </w:p>
              </w:tc>
              <w:tc>
                <w:tcPr>
                  <w:tcW w:type="dxa" w:w="1276"/>
                </w:tcPr>
                <w:p>
                  <w:pPr>
                    <w:pStyle w:val="null3"/>
                  </w:pPr>
                  <w:r>
                    <w:rPr>
                      <w:rFonts w:ascii="仿宋_GB2312" w:hAnsi="仿宋_GB2312" w:cs="仿宋_GB2312" w:eastAsia="仿宋_GB2312"/>
                      <w:sz w:val="21"/>
                      <w:color w:val="333333"/>
                    </w:rPr>
                    <w:t xml:space="preserve">发动机：≧国 Ⅲ </w:t>
                  </w:r>
                  <w:r>
                    <w:rPr>
                      <w:rFonts w:ascii="仿宋_GB2312" w:hAnsi="仿宋_GB2312" w:cs="仿宋_GB2312" w:eastAsia="仿宋_GB2312"/>
                      <w:sz w:val="21"/>
                      <w:color w:val="333333"/>
                    </w:rPr>
                    <w:t xml:space="preserve">排放标准 发电机：绝 </w:t>
                  </w:r>
                  <w:r>
                    <w:rPr>
                      <w:rFonts w:ascii="仿宋_GB2312" w:hAnsi="仿宋_GB2312" w:cs="仿宋_GB2312" w:eastAsia="仿宋_GB2312"/>
                      <w:sz w:val="21"/>
                      <w:color w:val="333333"/>
                    </w:rPr>
                    <w:t>缘等级≥H 级，防护等</w:t>
                  </w:r>
                  <w:r>
                    <w:rPr>
                      <w:rFonts w:ascii="仿宋_GB2312" w:hAnsi="仿宋_GB2312" w:cs="仿宋_GB2312" w:eastAsia="仿宋_GB2312"/>
                      <w:sz w:val="21"/>
                      <w:color w:val="333333"/>
                    </w:rPr>
                    <w:t>级≥IP67</w:t>
                  </w:r>
                </w:p>
              </w:tc>
            </w:tr>
            <w:tr>
              <w:tc>
                <w:tcPr>
                  <w:tcW w:type="dxa" w:w="1276"/>
                </w:tcPr>
                <w:p>
                  <w:pPr>
                    <w:pStyle w:val="null3"/>
                  </w:pPr>
                  <w:r>
                    <w:rPr>
                      <w:rFonts w:ascii="仿宋_GB2312" w:hAnsi="仿宋_GB2312" w:cs="仿宋_GB2312" w:eastAsia="仿宋_GB2312"/>
                    </w:rPr>
                    <w:t>功能性能</w:t>
                  </w:r>
                </w:p>
              </w:tc>
              <w:tc>
                <w:tcPr>
                  <w:tcW w:type="dxa" w:w="1276"/>
                </w:tcPr>
                <w:p>
                  <w:pPr>
                    <w:pStyle w:val="null3"/>
                  </w:pPr>
                  <w:r>
                    <w:rPr>
                      <w:rFonts w:ascii="仿宋_GB2312" w:hAnsi="仿宋_GB2312" w:cs="仿宋_GB2312" w:eastAsia="仿宋_GB2312"/>
                      <w:sz w:val="21"/>
                      <w:color w:val="333333"/>
                    </w:rPr>
                    <w:t xml:space="preserve">1、支持自动 / 手动 </w:t>
                  </w:r>
                  <w:r>
                    <w:rPr>
                      <w:rFonts w:ascii="仿宋_GB2312" w:hAnsi="仿宋_GB2312" w:cs="仿宋_GB2312" w:eastAsia="仿宋_GB2312"/>
                      <w:sz w:val="21"/>
                      <w:color w:val="333333"/>
                    </w:rPr>
                    <w:t xml:space="preserve">/ 远程启动（自动启动 </w:t>
                  </w:r>
                  <w:r>
                    <w:rPr>
                      <w:rFonts w:ascii="仿宋_GB2312" w:hAnsi="仿宋_GB2312" w:cs="仿宋_GB2312" w:eastAsia="仿宋_GB2312"/>
                      <w:sz w:val="21"/>
                      <w:color w:val="333333"/>
                    </w:rPr>
                    <w:t>≤15 秒）</w:t>
                  </w:r>
                </w:p>
                <w:p>
                  <w:pPr>
                    <w:pStyle w:val="null3"/>
                  </w:pPr>
                  <w:r>
                    <w:rPr>
                      <w:rFonts w:ascii="仿宋_GB2312" w:hAnsi="仿宋_GB2312" w:cs="仿宋_GB2312" w:eastAsia="仿宋_GB2312"/>
                      <w:sz w:val="21"/>
                      <w:color w:val="333333"/>
                    </w:rPr>
                    <w:t xml:space="preserve"> 2、满油连</w:t>
                  </w:r>
                  <w:r>
                    <w:rPr>
                      <w:rFonts w:ascii="仿宋_GB2312" w:hAnsi="仿宋_GB2312" w:cs="仿宋_GB2312" w:eastAsia="仿宋_GB2312"/>
                      <w:sz w:val="21"/>
                      <w:color w:val="333333"/>
                    </w:rPr>
                    <w:t>续运行时间≥8 小时</w:t>
                  </w:r>
                </w:p>
                <w:p>
                  <w:pPr>
                    <w:pStyle w:val="null3"/>
                  </w:pPr>
                  <w:r>
                    <w:rPr>
                      <w:rFonts w:ascii="仿宋_GB2312" w:hAnsi="仿宋_GB2312" w:cs="仿宋_GB2312" w:eastAsia="仿宋_GB2312"/>
                      <w:sz w:val="21"/>
                      <w:color w:val="333333"/>
                    </w:rPr>
                    <w:t>3、具备过载、短路等</w:t>
                  </w:r>
                  <w:r>
                    <w:rPr>
                      <w:rFonts w:ascii="仿宋_GB2312" w:hAnsi="仿宋_GB2312" w:cs="仿宋_GB2312" w:eastAsia="仿宋_GB2312"/>
                      <w:sz w:val="21"/>
                      <w:color w:val="333333"/>
                    </w:rPr>
                    <w:t>多重保护功能</w:t>
                  </w:r>
                </w:p>
                <w:p>
                  <w:pPr>
                    <w:pStyle w:val="null3"/>
                  </w:pPr>
                  <w:r>
                    <w:rPr>
                      <w:rFonts w:ascii="仿宋_GB2312" w:hAnsi="仿宋_GB2312" w:cs="仿宋_GB2312" w:eastAsia="仿宋_GB2312"/>
                      <w:sz w:val="21"/>
                      <w:color w:val="333333"/>
                    </w:rPr>
                    <w:t xml:space="preserve"> 4、运行 </w:t>
                  </w:r>
                  <w:r>
                    <w:rPr>
                      <w:rFonts w:ascii="仿宋_GB2312" w:hAnsi="仿宋_GB2312" w:cs="仿宋_GB2312" w:eastAsia="仿宋_GB2312"/>
                      <w:sz w:val="21"/>
                      <w:color w:val="333333"/>
                    </w:rPr>
                    <w:t xml:space="preserve">噪声≤75dB（距离机 </w:t>
                  </w:r>
                  <w:r>
                    <w:rPr>
                      <w:rFonts w:ascii="仿宋_GB2312" w:hAnsi="仿宋_GB2312" w:cs="仿宋_GB2312" w:eastAsia="仿宋_GB2312"/>
                      <w:sz w:val="21"/>
                      <w:color w:val="333333"/>
                    </w:rPr>
                    <w:t>组 1 米处）</w:t>
                  </w:r>
                </w:p>
              </w:tc>
            </w:tr>
            <w:tr>
              <w:tc>
                <w:tcPr>
                  <w:tcW w:type="dxa" w:w="1276"/>
                </w:tcPr>
                <w:p>
                  <w:pPr>
                    <w:pStyle w:val="null3"/>
                  </w:pPr>
                  <w:r>
                    <w:rPr>
                      <w:rFonts w:ascii="仿宋_GB2312" w:hAnsi="仿宋_GB2312" w:cs="仿宋_GB2312" w:eastAsia="仿宋_GB2312"/>
                      <w:sz w:val="21"/>
                      <w:color w:val="333333"/>
                    </w:rPr>
                    <w:t>资料要</w:t>
                  </w:r>
                  <w:r>
                    <w:rPr>
                      <w:rFonts w:ascii="仿宋_GB2312" w:hAnsi="仿宋_GB2312" w:cs="仿宋_GB2312" w:eastAsia="仿宋_GB2312"/>
                      <w:sz w:val="21"/>
                      <w:color w:val="333333"/>
                    </w:rPr>
                    <w:t>求</w:t>
                  </w:r>
                </w:p>
              </w:tc>
              <w:tc>
                <w:tcPr>
                  <w:tcW w:type="dxa" w:w="1276"/>
                </w:tcPr>
                <w:p>
                  <w:pPr>
                    <w:pStyle w:val="null3"/>
                  </w:pPr>
                  <w:r>
                    <w:rPr>
                      <w:rFonts w:ascii="仿宋_GB2312" w:hAnsi="仿宋_GB2312" w:cs="仿宋_GB2312" w:eastAsia="仿宋_GB2312"/>
                      <w:sz w:val="21"/>
                      <w:color w:val="333333"/>
                    </w:rPr>
                    <w:t xml:space="preserve">提供产品合格证、 </w:t>
                  </w:r>
                  <w:r>
                    <w:rPr>
                      <w:rFonts w:ascii="仿宋_GB2312" w:hAnsi="仿宋_GB2312" w:cs="仿宋_GB2312" w:eastAsia="仿宋_GB2312"/>
                      <w:sz w:val="21"/>
                      <w:color w:val="333333"/>
                    </w:rPr>
                    <w:t>出厂检测报告、技术说</w:t>
                  </w:r>
                  <w:r>
                    <w:rPr>
                      <w:rFonts w:ascii="仿宋_GB2312" w:hAnsi="仿宋_GB2312" w:cs="仿宋_GB2312" w:eastAsia="仿宋_GB2312"/>
                      <w:sz w:val="21"/>
                      <w:color w:val="333333"/>
                    </w:rPr>
                    <w:t>明书等全套资料</w:t>
                  </w:r>
                  <w:r>
                    <w:rPr>
                      <w:rFonts w:ascii="仿宋_GB2312" w:hAnsi="仿宋_GB2312" w:cs="仿宋_GB2312" w:eastAsia="仿宋_GB2312"/>
                    </w:rPr>
                    <w:t xml:space="preserve"> </w:t>
                  </w:r>
                </w:p>
              </w:tc>
            </w:tr>
            <w:tr>
              <w:tc>
                <w:tcPr>
                  <w:tcW w:type="dxa" w:w="1276"/>
                </w:tcPr>
                <w:p>
                  <w:pPr>
                    <w:pStyle w:val="null3"/>
                  </w:pPr>
                  <w:r>
                    <w:rPr>
                      <w:rFonts w:ascii="仿宋_GB2312" w:hAnsi="仿宋_GB2312" w:cs="仿宋_GB2312" w:eastAsia="仿宋_GB2312"/>
                    </w:rPr>
                    <w:t>其它要求</w:t>
                  </w:r>
                </w:p>
              </w:tc>
              <w:tc>
                <w:tcPr>
                  <w:tcW w:type="dxa" w:w="1276"/>
                </w:tcPr>
                <w:p>
                  <w:pPr>
                    <w:pStyle w:val="null3"/>
                  </w:pPr>
                  <w:r>
                    <w:rPr>
                      <w:rFonts w:ascii="仿宋_GB2312" w:hAnsi="仿宋_GB2312" w:cs="仿宋_GB2312" w:eastAsia="仿宋_GB2312"/>
                    </w:rPr>
                    <w:t>所有货物需符合国家安全、环保相关标准，严禁提供假冒伪劣产品</w:t>
                  </w:r>
                </w:p>
              </w:tc>
            </w:tr>
          </w:tbl>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标的名称：电缆和桥架及配管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（二）电缆、桥架、配管</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名称</w:t>
                  </w:r>
                </w:p>
              </w:tc>
              <w:tc>
                <w:tcPr>
                  <w:tcW w:type="dxa" w:w="851"/>
                </w:tcPr>
                <w:p>
                  <w:pPr>
                    <w:pStyle w:val="null3"/>
                  </w:pPr>
                  <w:r>
                    <w:rPr>
                      <w:rFonts w:ascii="仿宋_GB2312" w:hAnsi="仿宋_GB2312" w:cs="仿宋_GB2312" w:eastAsia="仿宋_GB2312"/>
                    </w:rPr>
                    <w:t>要求</w:t>
                  </w:r>
                </w:p>
              </w:tc>
              <w:tc>
                <w:tcPr>
                  <w:tcW w:type="dxa" w:w="851"/>
                </w:tcPr>
                <w:p>
                  <w:pPr>
                    <w:pStyle w:val="null3"/>
                  </w:pPr>
                  <w:r>
                    <w:rPr>
                      <w:rFonts w:ascii="仿宋_GB2312" w:hAnsi="仿宋_GB2312" w:cs="仿宋_GB2312" w:eastAsia="仿宋_GB2312"/>
                    </w:rPr>
                    <w:t>长度</w:t>
                  </w:r>
                </w:p>
              </w:tc>
            </w:tr>
            <w:tr>
              <w:tc>
                <w:tcPr>
                  <w:tcW w:type="dxa" w:w="851"/>
                </w:tcPr>
                <w:p>
                  <w:pPr>
                    <w:pStyle w:val="null3"/>
                  </w:pPr>
                  <w:r>
                    <w:rPr>
                      <w:rFonts w:ascii="仿宋_GB2312" w:hAnsi="仿宋_GB2312" w:cs="仿宋_GB2312" w:eastAsia="仿宋_GB2312"/>
                    </w:rPr>
                    <w:t>矿物绝缘电力电缆</w:t>
                  </w:r>
                </w:p>
              </w:tc>
              <w:tc>
                <w:tcPr>
                  <w:tcW w:type="dxa" w:w="851"/>
                </w:tcPr>
                <w:p>
                  <w:pPr>
                    <w:pStyle w:val="null3"/>
                  </w:pPr>
                  <w:r>
                    <w:rPr>
                      <w:rFonts w:ascii="仿宋_GB2312" w:hAnsi="仿宋_GB2312" w:cs="仿宋_GB2312" w:eastAsia="仿宋_GB2312"/>
                      <w:sz w:val="21"/>
                      <w:color w:val="333333"/>
                    </w:rPr>
                    <w:t>NG-</w:t>
                  </w:r>
                  <w:r>
                    <w:rPr>
                      <w:rFonts w:ascii="仿宋_GB2312" w:hAnsi="仿宋_GB2312" w:cs="仿宋_GB2312" w:eastAsia="仿宋_GB2312"/>
                      <w:sz w:val="21"/>
                      <w:color w:val="333333"/>
                    </w:rPr>
                    <w:t>A-≥4×185+≥1×95</w:t>
                  </w:r>
                </w:p>
              </w:tc>
              <w:tc>
                <w:tcPr>
                  <w:tcW w:type="dxa" w:w="851"/>
                </w:tcPr>
                <w:p>
                  <w:pPr>
                    <w:pStyle w:val="null3"/>
                  </w:pPr>
                  <w:r>
                    <w:rPr>
                      <w:rFonts w:ascii="仿宋_GB2312" w:hAnsi="仿宋_GB2312" w:cs="仿宋_GB2312" w:eastAsia="仿宋_GB2312"/>
                    </w:rPr>
                    <w:t>125.6m</w:t>
                  </w:r>
                </w:p>
              </w:tc>
            </w:tr>
            <w:tr>
              <w:tc>
                <w:tcPr>
                  <w:tcW w:type="dxa" w:w="851"/>
                </w:tcPr>
                <w:p>
                  <w:pPr>
                    <w:pStyle w:val="null3"/>
                  </w:pPr>
                  <w:r>
                    <w:rPr>
                      <w:rFonts w:ascii="仿宋_GB2312" w:hAnsi="仿宋_GB2312" w:cs="仿宋_GB2312" w:eastAsia="仿宋_GB2312"/>
                      <w:sz w:val="21"/>
                      <w:color w:val="333333"/>
                    </w:rPr>
                    <w:t>无卤低</w:t>
                  </w:r>
                  <w:r>
                    <w:rPr>
                      <w:rFonts w:ascii="仿宋_GB2312" w:hAnsi="仿宋_GB2312" w:cs="仿宋_GB2312" w:eastAsia="仿宋_GB2312"/>
                    </w:rPr>
                    <w:t>烟阻燃电力电缆</w:t>
                  </w:r>
                </w:p>
              </w:tc>
              <w:tc>
                <w:tcPr>
                  <w:tcW w:type="dxa" w:w="851"/>
                </w:tcPr>
                <w:p>
                  <w:pPr>
                    <w:pStyle w:val="null3"/>
                  </w:pPr>
                  <w:r>
                    <w:rPr>
                      <w:rFonts w:ascii="仿宋_GB2312" w:hAnsi="仿宋_GB2312" w:cs="仿宋_GB2312" w:eastAsia="仿宋_GB2312"/>
                      <w:sz w:val="21"/>
                      <w:color w:val="333333"/>
                    </w:rPr>
                    <w:t xml:space="preserve">WDZ-YJY23- </w:t>
                  </w:r>
                  <w:r>
                    <w:rPr>
                      <w:rFonts w:ascii="仿宋_GB2312" w:hAnsi="仿宋_GB2312" w:cs="仿宋_GB2312" w:eastAsia="仿宋_GB2312"/>
                      <w:sz w:val="21"/>
                      <w:color w:val="333333"/>
                    </w:rPr>
                    <w:t>≥4×185+≥1×95</w:t>
                  </w:r>
                </w:p>
              </w:tc>
              <w:tc>
                <w:tcPr>
                  <w:tcW w:type="dxa" w:w="851"/>
                </w:tcPr>
                <w:p>
                  <w:pPr>
                    <w:pStyle w:val="null3"/>
                  </w:pPr>
                  <w:r>
                    <w:rPr>
                      <w:rFonts w:ascii="仿宋_GB2312" w:hAnsi="仿宋_GB2312" w:cs="仿宋_GB2312" w:eastAsia="仿宋_GB2312"/>
                    </w:rPr>
                    <w:t>16m</w:t>
                  </w:r>
                </w:p>
              </w:tc>
            </w:tr>
            <w:tr>
              <w:tc>
                <w:tcPr>
                  <w:tcW w:type="dxa" w:w="851"/>
                </w:tcPr>
                <w:p>
                  <w:pPr>
                    <w:pStyle w:val="null3"/>
                  </w:pPr>
                  <w:r>
                    <w:rPr>
                      <w:rFonts w:ascii="仿宋_GB2312" w:hAnsi="仿宋_GB2312" w:cs="仿宋_GB2312" w:eastAsia="仿宋_GB2312"/>
                      <w:sz w:val="21"/>
                      <w:color w:val="333333"/>
                    </w:rPr>
                    <w:t>矿物绝缘电力电</w:t>
                  </w:r>
                  <w:r>
                    <w:rPr>
                      <w:rFonts w:ascii="仿宋_GB2312" w:hAnsi="仿宋_GB2312" w:cs="仿宋_GB2312" w:eastAsia="仿宋_GB2312"/>
                      <w:sz w:val="21"/>
                      <w:color w:val="333333"/>
                    </w:rPr>
                    <w:t>缆</w:t>
                  </w:r>
                </w:p>
              </w:tc>
              <w:tc>
                <w:tcPr>
                  <w:tcW w:type="dxa" w:w="851"/>
                </w:tcPr>
                <w:p>
                  <w:pPr>
                    <w:pStyle w:val="null3"/>
                  </w:pPr>
                  <w:r>
                    <w:rPr>
                      <w:rFonts w:ascii="仿宋_GB2312" w:hAnsi="仿宋_GB2312" w:cs="仿宋_GB2312" w:eastAsia="仿宋_GB2312"/>
                      <w:sz w:val="21"/>
                      <w:color w:val="333333"/>
                    </w:rPr>
                    <w:t>NG-A-</w:t>
                  </w:r>
                  <w:r>
                    <w:rPr>
                      <w:rFonts w:ascii="仿宋_GB2312" w:hAnsi="仿宋_GB2312" w:cs="仿宋_GB2312" w:eastAsia="仿宋_GB2312"/>
                      <w:sz w:val="21"/>
                      <w:color w:val="333333"/>
                    </w:rPr>
                    <w:t>≥4×25+≥1×16</w:t>
                  </w:r>
                </w:p>
              </w:tc>
              <w:tc>
                <w:tcPr>
                  <w:tcW w:type="dxa" w:w="851"/>
                </w:tcPr>
                <w:p>
                  <w:pPr>
                    <w:pStyle w:val="null3"/>
                  </w:pPr>
                  <w:r>
                    <w:rPr>
                      <w:rFonts w:ascii="仿宋_GB2312" w:hAnsi="仿宋_GB2312" w:cs="仿宋_GB2312" w:eastAsia="仿宋_GB2312"/>
                    </w:rPr>
                    <w:t>15.4m</w:t>
                  </w:r>
                </w:p>
              </w:tc>
            </w:tr>
            <w:tr>
              <w:tc>
                <w:tcPr>
                  <w:tcW w:type="dxa" w:w="851"/>
                </w:tcPr>
                <w:p>
                  <w:pPr>
                    <w:pStyle w:val="null3"/>
                  </w:pPr>
                  <w:r>
                    <w:rPr>
                      <w:rFonts w:ascii="仿宋_GB2312" w:hAnsi="仿宋_GB2312" w:cs="仿宋_GB2312" w:eastAsia="仿宋_GB2312"/>
                      <w:sz w:val="21"/>
                      <w:color w:val="333333"/>
                    </w:rPr>
                    <w:t>控制电缆</w:t>
                  </w:r>
                </w:p>
              </w:tc>
              <w:tc>
                <w:tcPr>
                  <w:tcW w:type="dxa" w:w="851"/>
                </w:tcPr>
                <w:p>
                  <w:pPr>
                    <w:pStyle w:val="null3"/>
                  </w:pPr>
                  <w:r>
                    <w:rPr>
                      <w:rFonts w:ascii="仿宋_GB2312" w:hAnsi="仿宋_GB2312" w:cs="仿宋_GB2312" w:eastAsia="仿宋_GB2312"/>
                      <w:sz w:val="21"/>
                      <w:color w:val="333333"/>
                    </w:rPr>
                    <w:t>KVV-</w:t>
                  </w:r>
                  <w:r>
                    <w:rPr>
                      <w:rFonts w:ascii="仿宋_GB2312" w:hAnsi="仿宋_GB2312" w:cs="仿宋_GB2312" w:eastAsia="仿宋_GB2312"/>
                      <w:sz w:val="21"/>
                      <w:color w:val="333333"/>
                    </w:rPr>
                    <w:t>≥4×1.5</w:t>
                  </w:r>
                </w:p>
              </w:tc>
              <w:tc>
                <w:tcPr>
                  <w:tcW w:type="dxa" w:w="851"/>
                </w:tcPr>
                <w:p>
                  <w:pPr>
                    <w:pStyle w:val="null3"/>
                  </w:pPr>
                  <w:r>
                    <w:rPr>
                      <w:rFonts w:ascii="仿宋_GB2312" w:hAnsi="仿宋_GB2312" w:cs="仿宋_GB2312" w:eastAsia="仿宋_GB2312"/>
                    </w:rPr>
                    <w:t>59.02m</w:t>
                  </w:r>
                </w:p>
              </w:tc>
            </w:tr>
            <w:tr>
              <w:tc>
                <w:tcPr>
                  <w:tcW w:type="dxa" w:w="851"/>
                </w:tcPr>
                <w:p>
                  <w:pPr>
                    <w:pStyle w:val="null3"/>
                  </w:pPr>
                  <w:r>
                    <w:rPr>
                      <w:rFonts w:ascii="仿宋_GB2312" w:hAnsi="仿宋_GB2312" w:cs="仿宋_GB2312" w:eastAsia="仿宋_GB2312"/>
                      <w:sz w:val="21"/>
                      <w:color w:val="333333"/>
                    </w:rPr>
                    <w:t>强电</w:t>
                  </w:r>
                  <w:r>
                    <w:rPr>
                      <w:rFonts w:ascii="仿宋_GB2312" w:hAnsi="仿宋_GB2312" w:cs="仿宋_GB2312" w:eastAsia="仿宋_GB2312"/>
                      <w:sz w:val="21"/>
                      <w:color w:val="333333"/>
                    </w:rPr>
                    <w:t>金属桥架</w:t>
                  </w:r>
                </w:p>
              </w:tc>
              <w:tc>
                <w:tcPr>
                  <w:tcW w:type="dxa" w:w="851"/>
                </w:tcPr>
                <w:p>
                  <w:pPr>
                    <w:pStyle w:val="null3"/>
                  </w:pPr>
                  <w:r>
                    <w:rPr>
                      <w:rFonts w:ascii="仿宋_GB2312" w:hAnsi="仿宋_GB2312" w:cs="仿宋_GB2312" w:eastAsia="仿宋_GB2312"/>
                      <w:sz w:val="21"/>
                      <w:color w:val="333333"/>
                    </w:rPr>
                    <w:t>≥300*200</w:t>
                  </w:r>
                </w:p>
              </w:tc>
              <w:tc>
                <w:tcPr>
                  <w:tcW w:type="dxa" w:w="851"/>
                </w:tcPr>
                <w:p>
                  <w:pPr>
                    <w:pStyle w:val="null3"/>
                  </w:pPr>
                  <w:r>
                    <w:rPr>
                      <w:rFonts w:ascii="仿宋_GB2312" w:hAnsi="仿宋_GB2312" w:cs="仿宋_GB2312" w:eastAsia="仿宋_GB2312"/>
                    </w:rPr>
                    <w:t>42.32m</w:t>
                  </w:r>
                </w:p>
              </w:tc>
            </w:tr>
            <w:tr>
              <w:tc>
                <w:tcPr>
                  <w:tcW w:type="dxa" w:w="851"/>
                </w:tcPr>
                <w:p>
                  <w:pPr>
                    <w:pStyle w:val="null3"/>
                  </w:pPr>
                  <w:r>
                    <w:rPr>
                      <w:rFonts w:ascii="仿宋_GB2312" w:hAnsi="仿宋_GB2312" w:cs="仿宋_GB2312" w:eastAsia="仿宋_GB2312"/>
                      <w:sz w:val="21"/>
                      <w:color w:val="333333"/>
                    </w:rPr>
                    <w:t>电气配管</w:t>
                  </w:r>
                </w:p>
              </w:tc>
              <w:tc>
                <w:tcPr>
                  <w:tcW w:type="dxa" w:w="851"/>
                </w:tcPr>
                <w:p>
                  <w:pPr>
                    <w:pStyle w:val="null3"/>
                  </w:pPr>
                  <w:r>
                    <w:rPr>
                      <w:rFonts w:ascii="仿宋_GB2312" w:hAnsi="仿宋_GB2312" w:cs="仿宋_GB2312" w:eastAsia="仿宋_GB2312"/>
                      <w:sz w:val="21"/>
                      <w:color w:val="333333"/>
                    </w:rPr>
                    <w:t>≥SC150</w:t>
                  </w:r>
                </w:p>
              </w:tc>
              <w:tc>
                <w:tcPr>
                  <w:tcW w:type="dxa" w:w="851"/>
                </w:tcPr>
                <w:p>
                  <w:pPr>
                    <w:pStyle w:val="null3"/>
                  </w:pPr>
                  <w:r>
                    <w:rPr>
                      <w:rFonts w:ascii="仿宋_GB2312" w:hAnsi="仿宋_GB2312" w:cs="仿宋_GB2312" w:eastAsia="仿宋_GB2312"/>
                    </w:rPr>
                    <w:t>40.60m</w:t>
                  </w:r>
                </w:p>
              </w:tc>
            </w:tr>
            <w:tr>
              <w:tc>
                <w:tcPr>
                  <w:tcW w:type="dxa" w:w="851"/>
                </w:tcPr>
                <w:p>
                  <w:pPr>
                    <w:pStyle w:val="null3"/>
                  </w:pPr>
                  <w:r>
                    <w:rPr>
                      <w:rFonts w:ascii="仿宋_GB2312" w:hAnsi="仿宋_GB2312" w:cs="仿宋_GB2312" w:eastAsia="仿宋_GB2312"/>
                      <w:sz w:val="21"/>
                      <w:color w:val="333333"/>
                    </w:rPr>
                    <w:t>电气配</w:t>
                  </w:r>
                  <w:r>
                    <w:rPr>
                      <w:rFonts w:ascii="仿宋_GB2312" w:hAnsi="仿宋_GB2312" w:cs="仿宋_GB2312" w:eastAsia="仿宋_GB2312"/>
                      <w:sz w:val="21"/>
                      <w:color w:val="333333"/>
                    </w:rPr>
                    <w:t>管</w:t>
                  </w:r>
                </w:p>
              </w:tc>
              <w:tc>
                <w:tcPr>
                  <w:tcW w:type="dxa" w:w="851"/>
                </w:tcPr>
                <w:p>
                  <w:pPr>
                    <w:pStyle w:val="null3"/>
                  </w:pPr>
                  <w:r>
                    <w:rPr>
                      <w:rFonts w:ascii="仿宋_GB2312" w:hAnsi="仿宋_GB2312" w:cs="仿宋_GB2312" w:eastAsia="仿宋_GB2312"/>
                      <w:sz w:val="21"/>
                      <w:color w:val="333333"/>
                    </w:rPr>
                    <w:t>≥SC32</w:t>
                  </w:r>
                </w:p>
              </w:tc>
              <w:tc>
                <w:tcPr>
                  <w:tcW w:type="dxa" w:w="851"/>
                </w:tcPr>
                <w:p>
                  <w:pPr>
                    <w:pStyle w:val="null3"/>
                  </w:pPr>
                  <w:r>
                    <w:rPr>
                      <w:rFonts w:ascii="仿宋_GB2312" w:hAnsi="仿宋_GB2312" w:cs="仿宋_GB2312" w:eastAsia="仿宋_GB2312"/>
                    </w:rPr>
                    <w:t>30.3m</w:t>
                  </w:r>
                </w:p>
              </w:tc>
            </w:tr>
            <w:tr>
              <w:tc>
                <w:tcPr>
                  <w:tcW w:type="dxa" w:w="2553"/>
                  <w:gridSpan w:val="3"/>
                </w:tcPr>
                <w:p>
                  <w:pPr>
                    <w:pStyle w:val="null3"/>
                  </w:pPr>
                  <w:r>
                    <w:rPr>
                      <w:rFonts w:ascii="仿宋_GB2312" w:hAnsi="仿宋_GB2312" w:cs="仿宋_GB2312" w:eastAsia="仿宋_GB2312"/>
                      <w:sz w:val="21"/>
                      <w:color w:val="333333"/>
                    </w:rPr>
                    <w:t>含电</w:t>
                  </w:r>
                  <w:r>
                    <w:rPr>
                      <w:rFonts w:ascii="仿宋_GB2312" w:hAnsi="仿宋_GB2312" w:cs="仿宋_GB2312" w:eastAsia="仿宋_GB2312"/>
                      <w:sz w:val="21"/>
                      <w:color w:val="333333"/>
                    </w:rPr>
                    <w:t>缆埋管敷设，长度为暂</w:t>
                  </w:r>
                  <w:r>
                    <w:rPr>
                      <w:rFonts w:ascii="仿宋_GB2312" w:hAnsi="仿宋_GB2312" w:cs="仿宋_GB2312" w:eastAsia="仿宋_GB2312"/>
                      <w:sz w:val="21"/>
                      <w:color w:val="333333"/>
                    </w:rPr>
                    <w:t>估，本项目为交钥匙工</w:t>
                  </w:r>
                  <w:r>
                    <w:rPr>
                      <w:rFonts w:ascii="仿宋_GB2312" w:hAnsi="仿宋_GB2312" w:cs="仿宋_GB2312" w:eastAsia="仿宋_GB2312"/>
                      <w:sz w:val="21"/>
                      <w:color w:val="333333"/>
                    </w:rPr>
                    <w:t>程，各潜在投标人自行</w:t>
                  </w:r>
                  <w:r>
                    <w:rPr>
                      <w:rFonts w:ascii="仿宋_GB2312" w:hAnsi="仿宋_GB2312" w:cs="仿宋_GB2312" w:eastAsia="仿宋_GB2312"/>
                      <w:sz w:val="21"/>
                      <w:color w:val="333333"/>
                    </w:rPr>
                    <w:t>勘测。所有货物需符合国家安全、环保相关标准，严禁提供假冒伪劣产品</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标的名称：辅料及其它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三（辅料及其它）</w:t>
            </w:r>
          </w:p>
          <w:p>
            <w:pPr>
              <w:pStyle w:val="null3"/>
            </w:pPr>
            <w:r>
              <w:rPr>
                <w:rFonts w:ascii="仿宋_GB2312" w:hAnsi="仿宋_GB2312" w:cs="仿宋_GB2312" w:eastAsia="仿宋_GB2312"/>
                <w:sz w:val="24"/>
                <w:color w:val="333333"/>
                <w:shd w:fill="FFFFFF" w:val="clear"/>
              </w:rPr>
              <w:t>1、发电机组安装辅材：含与机组适配的预埋钢板（Q235B，厚度≥12mm）、固定螺栓（热镀锌防腐）、发电机底座、警戒护栏等</w:t>
            </w:r>
          </w:p>
          <w:p>
            <w:pPr>
              <w:pStyle w:val="null3"/>
              <w:spacing w:after="120"/>
              <w:ind w:firstLine="720"/>
              <w:jc w:val="both"/>
            </w:pPr>
            <w:r>
              <w:rPr>
                <w:rFonts w:ascii="仿宋_GB2312" w:hAnsi="仿宋_GB2312" w:cs="仿宋_GB2312" w:eastAsia="仿宋_GB2312"/>
                <w:sz w:val="24"/>
                <w:color w:val="333333"/>
                <w:shd w:fill="FFFFFF" w:val="clear"/>
              </w:rPr>
              <w:t>2、电缆敷设辅材：含电缆桥架、支架、接地跨接线及安装等</w:t>
            </w:r>
          </w:p>
          <w:p>
            <w:pPr>
              <w:pStyle w:val="null3"/>
              <w:spacing w:after="120"/>
              <w:ind w:firstLine="720"/>
              <w:jc w:val="both"/>
            </w:pPr>
            <w:r>
              <w:rPr>
                <w:rFonts w:ascii="仿宋_GB2312" w:hAnsi="仿宋_GB2312" w:cs="仿宋_GB2312" w:eastAsia="仿宋_GB2312"/>
                <w:sz w:val="24"/>
                <w:color w:val="333333"/>
                <w:shd w:fill="FFFFFF" w:val="clear"/>
              </w:rPr>
              <w:t>3、2 台 GGD 型低压配电柜（F1 电源柜、F2 发电机出线柜），均为</w:t>
            </w:r>
            <w:r>
              <w:rPr>
                <w:rFonts w:ascii="仿宋_GB2312" w:hAnsi="仿宋_GB2312" w:cs="仿宋_GB2312" w:eastAsia="仿宋_GB2312"/>
                <w:sz w:val="24"/>
                <w:color w:val="333333"/>
                <w:shd w:fill="FFFFFF" w:val="clear"/>
              </w:rPr>
              <w:t xml:space="preserve">≥ </w:t>
            </w:r>
            <w:r>
              <w:rPr>
                <w:rFonts w:ascii="仿宋_GB2312" w:hAnsi="仿宋_GB2312" w:cs="仿宋_GB2312" w:eastAsia="仿宋_GB2312"/>
                <w:sz w:val="24"/>
                <w:color w:val="333333"/>
                <w:shd w:fill="FFFFFF" w:val="clear"/>
              </w:rPr>
              <w:t>800×800×2200mm，柜体采用厚度</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2.0mm冷轧钢板,静电喷塑，防护等级</w:t>
            </w:r>
            <w:r>
              <w:rPr>
                <w:rFonts w:ascii="仿宋_GB2312" w:hAnsi="仿宋_GB2312" w:cs="仿宋_GB2312" w:eastAsia="仿宋_GB2312"/>
                <w:sz w:val="24"/>
                <w:color w:val="333333"/>
                <w:shd w:fill="FFFFFF" w:val="clear"/>
              </w:rPr>
              <w:t xml:space="preserve">≥ </w:t>
            </w:r>
            <w:r>
              <w:rPr>
                <w:rFonts w:ascii="仿宋_GB2312" w:hAnsi="仿宋_GB2312" w:cs="仿宋_GB2312" w:eastAsia="仿宋_GB2312"/>
                <w:sz w:val="24"/>
                <w:color w:val="333333"/>
                <w:shd w:fill="FFFFFF" w:val="clear"/>
              </w:rPr>
              <w:t>IP30。</w:t>
            </w:r>
          </w:p>
          <w:p>
            <w:pPr>
              <w:pStyle w:val="null3"/>
              <w:spacing w:after="120"/>
              <w:ind w:firstLine="720"/>
              <w:jc w:val="both"/>
            </w:pPr>
            <w:r>
              <w:rPr>
                <w:rFonts w:ascii="仿宋_GB2312" w:hAnsi="仿宋_GB2312" w:cs="仿宋_GB2312" w:eastAsia="仿宋_GB2312"/>
                <w:sz w:val="24"/>
                <w:color w:val="333333"/>
                <w:shd w:fill="FFFFFF" w:val="clear"/>
              </w:rPr>
              <w:t>3.1 F1 电源柜：配置 630/630A</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_断路器，采用 2×NG-A-</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4×185+</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1×95 线缆穿</w:t>
            </w:r>
            <w:r>
              <w:rPr>
                <w:rFonts w:ascii="仿宋_GB2312" w:hAnsi="仿宋_GB2312" w:cs="仿宋_GB2312" w:eastAsia="仿宋_GB2312"/>
                <w:sz w:val="24"/>
                <w:color w:val="333333"/>
                <w:shd w:fill="FFFFFF" w:val="clear"/>
              </w:rPr>
              <w:t xml:space="preserve"> </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SC150 钢管敷设；</w:t>
            </w:r>
          </w:p>
          <w:p>
            <w:pPr>
              <w:pStyle w:val="null3"/>
              <w:spacing w:after="120"/>
              <w:ind w:firstLine="720"/>
              <w:jc w:val="both"/>
            </w:pPr>
            <w:r>
              <w:rPr>
                <w:rFonts w:ascii="仿宋_GB2312" w:hAnsi="仿宋_GB2312" w:cs="仿宋_GB2312" w:eastAsia="仿宋_GB2312"/>
                <w:sz w:val="24"/>
                <w:color w:val="333333"/>
                <w:shd w:fill="FFFFFF" w:val="clear"/>
              </w:rPr>
              <w:t>3.2 F2 发电机出线柜：配置消防专用回路断路器 125/80A-3200</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，采用</w:t>
            </w:r>
            <w:r>
              <w:rPr>
                <w:rFonts w:ascii="仿宋_GB2312" w:hAnsi="仿宋_GB2312" w:cs="仿宋_GB2312" w:eastAsia="仿宋_GB2312"/>
                <w:sz w:val="24"/>
                <w:color w:val="333333"/>
                <w:shd w:fill="FFFFFF" w:val="clear"/>
              </w:rPr>
              <w:t>NG-A-</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4×25+</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 xml:space="preserve">1×16 耐火线缆穿 </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SC50 钢管敷设；主楼备电回断路器 400/315A</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3300</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，采用</w:t>
            </w:r>
            <w:r>
              <w:rPr>
                <w:rFonts w:ascii="仿宋_GB2312" w:hAnsi="仿宋_GB2312" w:cs="仿宋_GB2312" w:eastAsia="仿宋_GB2312"/>
                <w:sz w:val="24"/>
                <w:color w:val="333333"/>
                <w:shd w:fill="FFFFFF" w:val="clear"/>
              </w:rPr>
              <w:t xml:space="preserve">WDZ-YJY23 </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4×185+</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1×95 线缆穿</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 xml:space="preserve"> </w:t>
            </w:r>
            <w:r>
              <w:rPr>
                <w:rFonts w:ascii="仿宋_GB2312" w:hAnsi="仿宋_GB2312" w:cs="仿宋_GB2312" w:eastAsia="仿宋_GB2312"/>
                <w:sz w:val="24"/>
                <w:color w:val="333333"/>
                <w:shd w:fill="FFFFFF" w:val="clear"/>
              </w:rPr>
              <w:t>SC150 钢管敷设其余回路配置63/63A</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±5%</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 xml:space="preserve"> </w:t>
            </w:r>
            <w:r>
              <w:rPr>
                <w:rFonts w:ascii="仿宋_GB2312" w:hAnsi="仿宋_GB2312" w:cs="仿宋_GB2312" w:eastAsia="仿宋_GB2312"/>
                <w:sz w:val="24"/>
                <w:color w:val="333333"/>
                <w:shd w:fill="FFFFFF" w:val="clear"/>
              </w:rPr>
              <w:t>断路器及</w:t>
            </w:r>
            <w:r>
              <w:rPr>
                <w:rFonts w:ascii="仿宋_GB2312" w:hAnsi="仿宋_GB2312" w:cs="仿宋_GB2312" w:eastAsia="仿宋_GB2312"/>
                <w:sz w:val="24"/>
                <w:color w:val="333333"/>
                <w:shd w:fill="FFFFFF" w:val="clear"/>
              </w:rPr>
              <w:t xml:space="preserve">100/5A </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3</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电流互感器，预留</w:t>
            </w:r>
            <w:r>
              <w:rPr>
                <w:rFonts w:ascii="仿宋_GB2312" w:hAnsi="仿宋_GB2312" w:cs="仿宋_GB2312" w:eastAsia="仿宋_GB2312"/>
                <w:sz w:val="24"/>
                <w:color w:val="333333"/>
                <w:shd w:fill="FFFFFF" w:val="clear"/>
              </w:rPr>
              <w:t>≥</w:t>
            </w:r>
            <w:r>
              <w:rPr>
                <w:rFonts w:ascii="仿宋_GB2312" w:hAnsi="仿宋_GB2312" w:cs="仿宋_GB2312" w:eastAsia="仿宋_GB2312"/>
                <w:sz w:val="24"/>
                <w:color w:val="333333"/>
                <w:shd w:fill="FFFFFF" w:val="clear"/>
              </w:rPr>
              <w:t>6个备用回路</w:t>
            </w:r>
          </w:p>
          <w:p>
            <w:pPr>
              <w:pStyle w:val="null3"/>
              <w:spacing w:after="120"/>
              <w:ind w:firstLine="720"/>
              <w:jc w:val="both"/>
            </w:pPr>
            <w:r>
              <w:rPr>
                <w:rFonts w:ascii="仿宋_GB2312" w:hAnsi="仿宋_GB2312" w:cs="仿宋_GB2312" w:eastAsia="仿宋_GB2312"/>
                <w:sz w:val="24"/>
                <w:color w:val="333333"/>
                <w:shd w:fill="FFFFFF" w:val="clear"/>
              </w:rPr>
              <w:t>4、完成发电机组基础适配安装（含基础找平、固定）、电缆敷设、接线调试，管沟开挖及回填，确保系统正常运行</w:t>
            </w:r>
          </w:p>
          <w:p>
            <w:pPr>
              <w:pStyle w:val="null3"/>
              <w:spacing w:after="120"/>
              <w:ind w:firstLine="720"/>
              <w:jc w:val="both"/>
            </w:pPr>
            <w:r>
              <w:rPr>
                <w:rFonts w:ascii="仿宋_GB2312" w:hAnsi="仿宋_GB2312" w:cs="仿宋_GB2312" w:eastAsia="仿宋_GB2312"/>
                <w:sz w:val="21"/>
                <w:color w:val="333333"/>
                <w:shd w:fill="FFFFFF" w:val="clear"/>
              </w:rPr>
              <w:t>5、所有货物及安装需符合国家安全、环保相关标准，严禁提供假冒伪劣产品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自合同签订之日起15日内完成货物交付，安装调试并达到可使用状态</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铜川市铁诺北路6号甲状腺病院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1.验收：乙方完成供货内容后，向甲方提出验收申请，甲方接到乙方验收申请后组织验收（必要时可聘请相应专家或委托相应部门验收），验收合格后，出具使用验收合格证明。 2、最终验收：最终验收结果作为付 款依据，乙方填写验收单，并向甲方提交实施过程中的所有资料（包含但不限于产品合格证、保修卡、使用说明、培 训记录），以便甲方日后管理和维护。 3、验收依据：合同文本、合同附件、竞争性谈判文件、竞争性谈判响应文件、国内相应的标准、规范。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1.发电机组、电缆级配套辅助材料质保期均为自验收合格之日起2年。 2.质保期服务：质保期内非人为故障，供货单位无偿提供维修、更换服务；接到故障通知后24小时内到场，72小时内完成维修。（紧急故障4小时内到场）</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1、按《中华人民共和国民法典》以及相关法律的条款执行。 2、乙方履约延误 2- 1、如乙方事先未征得甲方同意并得到 甲方的谅解而单方面延迟执行合同，每延误一天的赔偿费按合同金额的百分之零点五 （0.5%）计收。误期赔偿费的最高限额 为合同价格的百分之五（5%）。一旦达到误期赔偿费的最高限额，甲方可终止合 同。 2-2、在履行合同过程中，如果乙方遇 到可能妨碍按时提供产品服务的情况，应及时以书面形式将拖延的事实，可能拖 延的期限和理由通知甲方。甲方在收到乙方通 知后，应尽快对情况进行评价，并确定是否通过修改合同，酌情延长服务时间或对乙方加收误期赔偿金。每延误一周的赔偿费 按合同金额的百分之零点五（0.5%）计收，直至提供服务为止。误 期赔偿费 的最高限额为合同价格的百分之五（5%）。一 旦达到误期赔偿费的最高限额，甲方可终止合同。 3、违约终止合 同：未按合 同要求提供相应数量产品服务或不能满足技术要 求以及不合格产品等违约行为，甲方会同监督机构有权终止合 同，对乙方违 约行为进行追究，乙方须退回甲方前期支付的费 用，同时支付合同金额5%的赔偿金，不足以弥补损失的，据 实增加赔偿金 额，并按政府采购法的有关规定进行相应的处罚。 4、本合同履行过程中，如因乙方违约，甲方提起诉讼的， 乙方应当承担甲 方为实现权利而产生的费用，包括但不限于诉讼 费、律师费、鉴定费、评估费等费用。</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成交单位领取中标通知书时需提交一正一副纸质版竞争性谈判响应文件。纸质版竞争性谈判响应文件需与电子版投标文件一致，不得修改。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有效的资格主体证明</w:t>
            </w:r>
          </w:p>
        </w:tc>
        <w:tc>
          <w:tcPr>
            <w:tcW w:type="dxa" w:w="3322"/>
          </w:tcPr>
          <w:p>
            <w:pPr>
              <w:pStyle w:val="null3"/>
            </w:pPr>
            <w:r>
              <w:rPr>
                <w:rFonts w:ascii="仿宋_GB2312" w:hAnsi="仿宋_GB2312" w:cs="仿宋_GB2312" w:eastAsia="仿宋_GB2312"/>
              </w:rPr>
              <w:t>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法定代表人或授权委托人资格要求</w:t>
            </w:r>
          </w:p>
        </w:tc>
        <w:tc>
          <w:tcPr>
            <w:tcW w:type="dxa" w:w="3322"/>
          </w:tcPr>
          <w:p>
            <w:pPr>
              <w:pStyle w:val="null3"/>
            </w:pPr>
            <w:r>
              <w:rPr>
                <w:rFonts w:ascii="仿宋_GB2312" w:hAnsi="仿宋_GB2312" w:cs="仿宋_GB2312" w:eastAsia="仿宋_GB2312"/>
              </w:rPr>
              <w:t>供应商为法人单位的）法定代表人亲自参加投标时，须提供本人身份证复印件；法定代表人授权他人参加投标时，须提供法定代表人委托授权书，同时提供被授权代表开标前六月内任意一个月在投标人单位的社保缴纳证明材料。（投标人为非法人单位的）投标文件中凡是需要法定代表人签字或盖章之处，非法人单位的负责人均参照执行。</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供应商信用要求</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或2025年度）的财务报告或提交磋商响应文件截止时间前六个月内其基本账户开户银行出具的资信证明；其他组织和自然人提供银行出具的资信证明或财务报表；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至今任意一个月已缴存的社会保障资金缴存单据或社保机构开具的社会保险参保缴费证明，依法不需要缴纳社会保障资金的单位应提供相关证明材料；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提供2025年3月至今任意一个月的纳税证明或税务机关开具的完税证明，依法免税的单位应提供相关证明材料；供应商需在项目电子化交易系统中按要求提供相关证明材料并进行电子签章。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符合竞争性谈判文件的实质性要求</w:t>
            </w:r>
          </w:p>
        </w:tc>
        <w:tc>
          <w:tcPr>
            <w:tcW w:type="dxa" w:w="3322"/>
          </w:tcPr>
          <w:p>
            <w:pPr>
              <w:pStyle w:val="null3"/>
            </w:pPr>
            <w:r>
              <w:rPr>
                <w:rFonts w:ascii="仿宋_GB2312" w:hAnsi="仿宋_GB2312" w:cs="仿宋_GB2312" w:eastAsia="仿宋_GB2312"/>
              </w:rPr>
              <w:t>供应商按照竞争性谈判文件要求上传竞争性响应文件应满足本项目竞争性谈判文件的实质性要求。</w:t>
            </w:r>
          </w:p>
        </w:tc>
        <w:tc>
          <w:tcPr>
            <w:tcW w:type="dxa" w:w="1661"/>
          </w:tcPr>
          <w:p>
            <w:pPr>
              <w:pStyle w:val="null3"/>
            </w:pPr>
            <w:r>
              <w:rPr>
                <w:rFonts w:ascii="仿宋_GB2312" w:hAnsi="仿宋_GB2312" w:cs="仿宋_GB2312" w:eastAsia="仿宋_GB2312"/>
              </w:rPr>
              <w:t>响应文件封面 产品技术参数表 商务应答表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不属于竞争性谈判文件规定的无效情形</w:t>
            </w:r>
          </w:p>
        </w:tc>
        <w:tc>
          <w:tcPr>
            <w:tcW w:type="dxa" w:w="3322"/>
          </w:tcPr>
          <w:p>
            <w:pPr>
              <w:pStyle w:val="null3"/>
            </w:pPr>
            <w:r>
              <w:rPr>
                <w:rFonts w:ascii="仿宋_GB2312" w:hAnsi="仿宋_GB2312" w:cs="仿宋_GB2312" w:eastAsia="仿宋_GB2312"/>
              </w:rPr>
              <w:t>供应商提交的竞争性谈判响应文件不得存在不属于竞争性谈判文件规定的无效情形。</w:t>
            </w:r>
          </w:p>
        </w:tc>
        <w:tc>
          <w:tcPr>
            <w:tcW w:type="dxa" w:w="1661"/>
          </w:tcPr>
          <w:p>
            <w:pPr>
              <w:pStyle w:val="null3"/>
            </w:pPr>
            <w:r>
              <w:rPr>
                <w:rFonts w:ascii="仿宋_GB2312" w:hAnsi="仿宋_GB2312" w:cs="仿宋_GB2312" w:eastAsia="仿宋_GB2312"/>
              </w:rPr>
              <w:t>响应文件封面 产品技术参数表 商务应答表 标的清单 报价表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详见附件：政府采购合同03.04.docx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