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版本号：ZXGJXM2026-ZC-GK00120260323001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铜川公路管理局特种桥梁检测设备采购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ZXGJXM2026-ZC-GK001</w:t>
      </w:r>
      <w:r>
        <w:br/>
      </w:r>
      <w:r>
        <w:br/>
      </w:r>
      <w:r>
        <w:br/>
      </w:r>
    </w:p>
    <w:p>
      <w:pPr>
        <w:pStyle w:val="null3"/>
        <w:jc w:val="center"/>
        <w:outlineLvl w:val="2"/>
      </w:pPr>
      <w:r>
        <w:rPr>
          <w:rFonts w:ascii="仿宋_GB2312" w:hAnsi="仿宋_GB2312" w:cs="仿宋_GB2312" w:eastAsia="仿宋_GB2312"/>
          <w:sz w:val="28"/>
          <w:b/>
        </w:rPr>
        <w:t>陕西省铜川公路管理局</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陕西省铜川公路管理局</w:t>
      </w:r>
      <w:r>
        <w:rPr>
          <w:rFonts w:ascii="仿宋_GB2312" w:hAnsi="仿宋_GB2312" w:cs="仿宋_GB2312" w:eastAsia="仿宋_GB2312"/>
        </w:rPr>
        <w:t>委托，拟对</w:t>
      </w:r>
      <w:r>
        <w:rPr>
          <w:rFonts w:ascii="仿宋_GB2312" w:hAnsi="仿宋_GB2312" w:cs="仿宋_GB2312" w:eastAsia="仿宋_GB2312"/>
        </w:rPr>
        <w:t>铜川公路管理局特种桥梁检测设备采购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ZXGJXM2026-ZC-GK001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铜川公路管理局特种桥梁检测设备采购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铜川公路管理局特种桥梁检测设备采购，详见采购需求。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1、提供独立法人或其他组织的相应证明文件：具有独立承担民事责任能力的法人、其他组织或自然人，并出具合法有效的营业执照或事业单位法人证书等国家规定的相关证明，自然人参与的提供其身份证明；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2、财务状况报告：提供2024或2025任一年度经审计的财务审计报告(成立时间至提交响应文件截止时间不足一年的可提供成立后的资产负债表和利润表），或提供近一年内基本存款账户开户银行开具的资信证明；</w:t>
      </w:r>
    </w:p>
    <w:p>
      <w:pPr>
        <w:pStyle w:val="null3"/>
      </w:pPr>
      <w:r>
        <w:rPr>
          <w:rFonts w:ascii="仿宋_GB2312" w:hAnsi="仿宋_GB2312" w:cs="仿宋_GB2312" w:eastAsia="仿宋_GB2312"/>
        </w:rPr>
        <w:t>3、税收缴纳证明：提供2025年02月01日至今任意两个月的纳税证明或完税证明,纳税证明或完税证明上应有代收机构或税务机关的公章，依法免税的单位应提供相关证明材料；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4、社会保障资金缴纳证明：提供2025年02月01日至今任意两个月依法缴纳社会保障资金的证明材料（依法不需要缴纳社会保障资金的单位应提供相关证明材料）；</w:t>
      </w:r>
    </w:p>
    <w:p>
      <w:pPr>
        <w:pStyle w:val="null3"/>
      </w:pPr>
      <w:r>
        <w:rPr>
          <w:rFonts w:ascii="仿宋_GB2312" w:hAnsi="仿宋_GB2312" w:cs="仿宋_GB2312" w:eastAsia="仿宋_GB2312"/>
        </w:rPr>
        <w:t>5、信用信息查询：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6、具备履行合同的能力承诺：具备履行合同所必需的设备和专业技术能力（提供承诺函）；</w:t>
      </w:r>
    </w:p>
    <w:p>
      <w:pPr>
        <w:pStyle w:val="null3"/>
      </w:pPr>
      <w:r>
        <w:rPr>
          <w:rFonts w:ascii="仿宋_GB2312" w:hAnsi="仿宋_GB2312" w:cs="仿宋_GB2312" w:eastAsia="仿宋_GB2312"/>
        </w:rPr>
        <w:t>7、无重大违法记录声明：参加政府采购活动前3年内，在经营活动中没有重大违法记录（提供书面声明函）；</w:t>
      </w:r>
    </w:p>
    <w:p>
      <w:pPr>
        <w:pStyle w:val="null3"/>
      </w:pPr>
      <w:r>
        <w:rPr>
          <w:rFonts w:ascii="仿宋_GB2312" w:hAnsi="仿宋_GB2312" w:cs="仿宋_GB2312" w:eastAsia="仿宋_GB2312"/>
        </w:rPr>
        <w:t>8、关联关系：单位负责人为同一人或者存在直接控股、管理关系的不同供应商不得同时参加本项目投标；</w:t>
      </w:r>
    </w:p>
    <w:p>
      <w:pPr>
        <w:pStyle w:val="null3"/>
      </w:pPr>
      <w:r>
        <w:rPr>
          <w:rFonts w:ascii="仿宋_GB2312" w:hAnsi="仿宋_GB2312" w:cs="仿宋_GB2312" w:eastAsia="仿宋_GB2312"/>
        </w:rPr>
        <w:t>9、法定代表人授权委托书或法定代表人身份证明：法定代表人授权委托书（附法定代表人及被授权人身份证复印件）（如法定代表人参加投标只需提交法定代表人身份证明并附身份证复印件）；</w:t>
      </w:r>
    </w:p>
    <w:p>
      <w:pPr>
        <w:pStyle w:val="null3"/>
      </w:pPr>
      <w:r>
        <w:rPr>
          <w:rFonts w:ascii="仿宋_GB2312" w:hAnsi="仿宋_GB2312" w:cs="仿宋_GB2312" w:eastAsia="仿宋_GB2312"/>
        </w:rPr>
        <w:t>10、联合体要求：本项目不接受联合体投标（提供承诺书）；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陕西省铜川公路管理局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铜川市新区铁诺南路1号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陕西省铜川公路管理局经办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0919-3385116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王涛、秦瑶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029-86116776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人以中标（成交）金额为基数，参照国家计委颁发的《招标代理服务收费管理暂行办法》（计价格【2002】1980号）和国家发展改革委办公厅关于招标代理服务收费有关问题的通知（发改办价格【2003】857号）的有关规定下浮20%向采购代理机构一次付清招标代理服务费。注：转账需备注项目名称+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陕西省铜川公路管理局</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陕西省铜川公路管理局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陕西省铜川公路管理局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按招标文件、投标响应文件等技术指标进行验收。各项指标均应符合验收标准及要求。验收合格后，填写验收单，双方签字生效。</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联系人：王涛、秦瑶</w:t>
      </w:r>
    </w:p>
    <w:p>
      <w:pPr>
        <w:pStyle w:val="null3"/>
      </w:pPr>
      <w:r>
        <w:rPr>
          <w:rFonts w:ascii="仿宋_GB2312" w:hAnsi="仿宋_GB2312" w:cs="仿宋_GB2312" w:eastAsia="仿宋_GB2312"/>
        </w:rPr>
        <w:t>联系电话：029-86116776</w:t>
      </w:r>
    </w:p>
    <w:p>
      <w:pPr>
        <w:pStyle w:val="null3"/>
      </w:pPr>
      <w:r>
        <w:rPr>
          <w:rFonts w:ascii="仿宋_GB2312" w:hAnsi="仿宋_GB2312" w:cs="仿宋_GB2312" w:eastAsia="仿宋_GB2312"/>
        </w:rPr>
        <w:t>地址：西安市经济技术开发区凤城十二路首创禧悦里25栋A座16层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采购1台能够适应复杂桥梁检测与加固作业环境的特种桥梁检测设备，为施工人员提供充足的操作空间和作业范围，具体详见技术要求。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3,750,000.00</w:t>
      </w:r>
    </w:p>
    <w:p>
      <w:pPr>
        <w:pStyle w:val="null3"/>
      </w:pPr>
      <w:r>
        <w:rPr>
          <w:rFonts w:ascii="仿宋_GB2312" w:hAnsi="仿宋_GB2312" w:cs="仿宋_GB2312" w:eastAsia="仿宋_GB2312"/>
        </w:rPr>
        <w:t>采购包最高限价（元）: 3,750,000.00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铜川公路管理局特种桥梁检测设备采购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标的名称：铜川公路管理局特种桥梁检测设备采购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一、采购内容</w:t>
            </w:r>
          </w:p>
          <w:tbl>
            <w:tblPr>
              <w:tblInd w:type="dxa" w:w="135"/>
              <w:tblBorders>
                <w:top w:val="none" w:color="000000" w:sz="4"/>
                <w:left w:val="none" w:color="000000" w:sz="4"/>
                <w:bottom w:val="none" w:color="000000" w:sz="4"/>
                <w:right w:val="none" w:color="000000" w:sz="4"/>
                <w:insideH w:val="none"/>
                <w:insideV w:val="none"/>
              </w:tblBorders>
            </w:tblPr>
            <w:tblGrid>
              <w:gridCol w:w="223"/>
              <w:gridCol w:w="667"/>
              <w:gridCol w:w="775"/>
              <w:gridCol w:w="493"/>
              <w:gridCol w:w="385"/>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标的名称</w:t>
                  </w:r>
                </w:p>
              </w:tc>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商品名称</w:t>
                  </w:r>
                </w:p>
              </w:tc>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计量单位</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铜川公路管理局特种桥梁检测设备采购</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w:t>
                  </w:r>
                  <w:r>
                    <w:rPr>
                      <w:rFonts w:ascii="仿宋_GB2312" w:hAnsi="仿宋_GB2312" w:cs="仿宋_GB2312" w:eastAsia="仿宋_GB2312"/>
                      <w:sz w:val="24"/>
                    </w:rPr>
                    <w:t>车</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jc w:val="both"/>
            </w:pPr>
            <w:r>
              <w:rPr>
                <w:rFonts w:ascii="仿宋_GB2312" w:hAnsi="仿宋_GB2312" w:cs="仿宋_GB2312" w:eastAsia="仿宋_GB2312"/>
                <w:sz w:val="24"/>
                <w:b/>
              </w:rPr>
              <w:t>二、技术参数要求</w:t>
            </w:r>
          </w:p>
          <w:tbl>
            <w:tblPr>
              <w:tblInd w:type="dxa" w:w="105"/>
              <w:tblBorders>
                <w:top w:val="none" w:color="000000" w:sz="4"/>
                <w:left w:val="none" w:color="000000" w:sz="4"/>
                <w:bottom w:val="none" w:color="000000" w:sz="4"/>
                <w:right w:val="none" w:color="000000" w:sz="4"/>
                <w:insideH w:val="none"/>
                <w:insideV w:val="none"/>
              </w:tblBorders>
            </w:tblPr>
            <w:tblGrid>
              <w:gridCol w:w="247"/>
              <w:gridCol w:w="751"/>
              <w:gridCol w:w="1348"/>
              <w:gridCol w:w="197"/>
            </w:tblGrid>
            <w:tr>
              <w:tc>
                <w:tcPr>
                  <w:tcW w:type="dxa" w:w="2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w:t>
                  </w:r>
                  <w:r>
                    <w:rPr>
                      <w:rFonts w:ascii="仿宋_GB2312" w:hAnsi="仿宋_GB2312" w:cs="仿宋_GB2312" w:eastAsia="仿宋_GB2312"/>
                      <w:sz w:val="24"/>
                    </w:rPr>
                    <w:t>号</w:t>
                  </w:r>
                </w:p>
              </w:tc>
              <w:tc>
                <w:tcPr>
                  <w:tcW w:type="dxa" w:w="7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名称</w:t>
                  </w:r>
                </w:p>
              </w:tc>
              <w:tc>
                <w:tcPr>
                  <w:tcW w:type="dxa" w:w="13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技术参数及要求</w:t>
                  </w: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备注</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发动机功率</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≥250</w:t>
                  </w:r>
                  <w:r>
                    <w:rPr>
                      <w:rFonts w:ascii="仿宋_GB2312" w:hAnsi="仿宋_GB2312" w:cs="仿宋_GB2312" w:eastAsia="仿宋_GB2312"/>
                      <w:sz w:val="24"/>
                    </w:rPr>
                    <w:t>KW</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燃油、</w:t>
                  </w:r>
                  <w:r>
                    <w:rPr>
                      <w:rFonts w:ascii="仿宋_GB2312" w:hAnsi="仿宋_GB2312" w:cs="仿宋_GB2312" w:eastAsia="仿宋_GB2312"/>
                      <w:sz w:val="24"/>
                    </w:rPr>
                    <w:t>排放标准</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柴油、</w:t>
                  </w:r>
                  <w:r>
                    <w:rPr>
                      <w:rFonts w:ascii="仿宋_GB2312" w:hAnsi="仿宋_GB2312" w:cs="仿宋_GB2312" w:eastAsia="仿宋_GB2312"/>
                      <w:sz w:val="24"/>
                    </w:rPr>
                    <w:t>国六</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外形尺寸</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≥13000</w:t>
                  </w:r>
                  <w:r>
                    <w:rPr>
                      <w:rFonts w:ascii="仿宋_GB2312" w:hAnsi="仿宋_GB2312" w:cs="仿宋_GB2312" w:eastAsia="仿宋_GB2312"/>
                      <w:sz w:val="24"/>
                    </w:rPr>
                    <w:t>×</w:t>
                  </w:r>
                  <w:r>
                    <w:rPr>
                      <w:rFonts w:ascii="仿宋_GB2312" w:hAnsi="仿宋_GB2312" w:cs="仿宋_GB2312" w:eastAsia="仿宋_GB2312"/>
                      <w:sz w:val="24"/>
                    </w:rPr>
                    <w:t>2550</w:t>
                  </w:r>
                  <w:r>
                    <w:rPr>
                      <w:rFonts w:ascii="仿宋_GB2312" w:hAnsi="仿宋_GB2312" w:cs="仿宋_GB2312" w:eastAsia="仿宋_GB2312"/>
                      <w:sz w:val="24"/>
                    </w:rPr>
                    <w:t>×</w:t>
                  </w:r>
                  <w:r>
                    <w:rPr>
                      <w:rFonts w:ascii="仿宋_GB2312" w:hAnsi="仿宋_GB2312" w:cs="仿宋_GB2312" w:eastAsia="仿宋_GB2312"/>
                      <w:sz w:val="24"/>
                    </w:rPr>
                    <w:t>4000</w:t>
                  </w:r>
                  <w:r>
                    <w:rPr>
                      <w:rFonts w:ascii="仿宋_GB2312" w:hAnsi="仿宋_GB2312" w:cs="仿宋_GB2312" w:eastAsia="仿宋_GB2312"/>
                      <w:sz w:val="24"/>
                    </w:rPr>
                    <w:t>mm</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2"/>
                    </w:rPr>
                    <w:t>★</w:t>
                  </w:r>
                  <w:r>
                    <w:rPr>
                      <w:rFonts w:ascii="仿宋_GB2312" w:hAnsi="仿宋_GB2312" w:cs="仿宋_GB2312" w:eastAsia="仿宋_GB2312"/>
                      <w:sz w:val="24"/>
                    </w:rPr>
                    <w:t>总</w:t>
                  </w:r>
                  <w:r>
                    <w:rPr>
                      <w:rFonts w:ascii="仿宋_GB2312" w:hAnsi="仿宋_GB2312" w:cs="仿宋_GB2312" w:eastAsia="仿宋_GB2312"/>
                      <w:sz w:val="24"/>
                    </w:rPr>
                    <w:t>质量</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1500</w:t>
                  </w:r>
                  <w:r>
                    <w:rPr>
                      <w:rFonts w:ascii="仿宋_GB2312" w:hAnsi="仿宋_GB2312" w:cs="仿宋_GB2312" w:eastAsia="仿宋_GB2312"/>
                      <w:sz w:val="24"/>
                    </w:rPr>
                    <w:t>kg</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轴距</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≥1800+4500</w:t>
                  </w:r>
                  <w:r>
                    <w:rPr>
                      <w:rFonts w:ascii="仿宋_GB2312" w:hAnsi="仿宋_GB2312" w:cs="仿宋_GB2312" w:eastAsia="仿宋_GB2312"/>
                      <w:sz w:val="24"/>
                    </w:rPr>
                    <w:t>+</w:t>
                  </w:r>
                  <w:r>
                    <w:rPr>
                      <w:rFonts w:ascii="仿宋_GB2312" w:hAnsi="仿宋_GB2312" w:cs="仿宋_GB2312" w:eastAsia="仿宋_GB2312"/>
                      <w:sz w:val="24"/>
                    </w:rPr>
                    <w:t>1400</w:t>
                  </w:r>
                  <w:r>
                    <w:rPr>
                      <w:rFonts w:ascii="仿宋_GB2312" w:hAnsi="仿宋_GB2312" w:cs="仿宋_GB2312" w:eastAsia="仿宋_GB2312"/>
                      <w:sz w:val="24"/>
                    </w:rPr>
                    <w:t>mm</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w:t>
                  </w:r>
                  <w:r>
                    <w:rPr>
                      <w:rFonts w:ascii="仿宋_GB2312" w:hAnsi="仿宋_GB2312" w:cs="仿宋_GB2312" w:eastAsia="仿宋_GB2312"/>
                      <w:sz w:val="24"/>
                    </w:rPr>
                    <w:t>工作平台最大载重量</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00kg</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工作平台前端最大载</w:t>
                  </w:r>
                  <w:r>
                    <w:rPr>
                      <w:rFonts w:ascii="仿宋_GB2312" w:hAnsi="仿宋_GB2312" w:cs="仿宋_GB2312" w:eastAsia="仿宋_GB2312"/>
                      <w:sz w:val="24"/>
                    </w:rPr>
                    <w:t>重量</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00kg</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第一回转转动范围</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0-90°</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第二回转转动范围</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0-180°</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液压系统</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整车配置开式</w:t>
                  </w:r>
                  <w:r>
                    <w:rPr>
                      <w:rFonts w:ascii="仿宋_GB2312" w:hAnsi="仿宋_GB2312" w:cs="仿宋_GB2312" w:eastAsia="仿宋_GB2312"/>
                      <w:sz w:val="24"/>
                    </w:rPr>
                    <w:t>/闭式液压系统，采用负载敏感/定压变量控制模式，由液压泵、多路控制阀、液压执行元件、液压油箱、管路及密封附件等组成。系统设计合理、布局紧凑，传动平稳、响应迅速、动作精准可靠，可实现车辆工作装置的举升、伸缩、回转等功能，具备完善的压力调节与过载保护能力，适应多种工况连续作业，整机运行稳定、故障率低、维护便捷。</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控制方式</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手动</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控制系统</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分为桥上和桥下</w:t>
                  </w:r>
                  <w:r>
                    <w:rPr>
                      <w:rFonts w:ascii="仿宋_GB2312" w:hAnsi="仿宋_GB2312" w:cs="仿宋_GB2312" w:eastAsia="仿宋_GB2312"/>
                      <w:sz w:val="24"/>
                    </w:rPr>
                    <w:t>2个操作平台</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其他安全</w:t>
                  </w:r>
                  <w:r>
                    <w:rPr>
                      <w:rFonts w:ascii="仿宋_GB2312" w:hAnsi="仿宋_GB2312" w:cs="仿宋_GB2312" w:eastAsia="仿宋_GB2312"/>
                      <w:sz w:val="24"/>
                    </w:rPr>
                    <w:t>配置</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配备桥上桥下实时通讯设备、监控设备、上下车互锁装置避免误操作。</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14</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底盘配置</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底盘配置</w:t>
                  </w:r>
                  <w:r>
                    <w:rPr>
                      <w:rFonts w:ascii="仿宋_GB2312" w:hAnsi="仿宋_GB2312" w:cs="仿宋_GB2312" w:eastAsia="仿宋_GB2312"/>
                      <w:sz w:val="24"/>
                    </w:rPr>
                    <w:t>ABS电子制动防滑系统、冷暖空调、电动门窗、电动后视镜。</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5</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极限跨越人行横道宽度</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w:t>
                  </w:r>
                  <w:r>
                    <w:rPr>
                      <w:rFonts w:ascii="仿宋_GB2312" w:hAnsi="仿宋_GB2312" w:cs="仿宋_GB2312" w:eastAsia="仿宋_GB2312"/>
                      <w:sz w:val="24"/>
                    </w:rPr>
                    <w:t>6.8</w:t>
                  </w:r>
                  <w:r>
                    <w:rPr>
                      <w:rFonts w:ascii="仿宋_GB2312" w:hAnsi="仿宋_GB2312" w:cs="仿宋_GB2312" w:eastAsia="仿宋_GB2312"/>
                      <w:sz w:val="24"/>
                    </w:rPr>
                    <w:t>m</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6</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最大作业深度</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m</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7</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最大水平作业幅度</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m（从二回转中心位置到工作平台最远端位置）。</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18</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极限跨越护栏高度</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m</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19</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工作平台宽度（</w:t>
                  </w:r>
                  <w:r>
                    <w:rPr>
                      <w:rFonts w:ascii="仿宋_GB2312" w:hAnsi="仿宋_GB2312" w:cs="仿宋_GB2312" w:eastAsia="仿宋_GB2312"/>
                      <w:sz w:val="24"/>
                    </w:rPr>
                    <w:t>m）</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≥1m</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20</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最大作业行走速度</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m/min</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21</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工作平台搭接长度</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22</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作业行走方式</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作业时使用分动箱驱动，可以在横坡</w:t>
                  </w:r>
                  <w:r>
                    <w:rPr>
                      <w:rFonts w:ascii="仿宋_GB2312" w:hAnsi="仿宋_GB2312" w:cs="仿宋_GB2312" w:eastAsia="仿宋_GB2312"/>
                      <w:sz w:val="24"/>
                    </w:rPr>
                    <w:t>≥3%，纵坡≥5%的大纵坡环境和潮湿路面上稳定行走作业，不会出现打滑和溜坡。</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23</w:t>
                  </w:r>
                </w:p>
              </w:tc>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车辆稳定性</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4"/>
                    </w:rPr>
                    <w:t>为保证稳定性工作平台选用航空铝合金材质，</w:t>
                  </w:r>
                  <w:r>
                    <w:rPr>
                      <w:rFonts w:ascii="仿宋_GB2312" w:hAnsi="仿宋_GB2312" w:cs="仿宋_GB2312" w:eastAsia="仿宋_GB2312"/>
                      <w:sz w:val="24"/>
                    </w:rPr>
                    <w:t>作业时</w:t>
                  </w:r>
                  <w:r>
                    <w:rPr>
                      <w:rFonts w:ascii="仿宋_GB2312" w:hAnsi="仿宋_GB2312" w:cs="仿宋_GB2312" w:eastAsia="仿宋_GB2312"/>
                      <w:sz w:val="24"/>
                    </w:rPr>
                    <w:t>支腿外伸</w:t>
                  </w:r>
                  <w:r>
                    <w:rPr>
                      <w:rFonts w:ascii="仿宋_GB2312" w:hAnsi="仿宋_GB2312" w:cs="仿宋_GB2312" w:eastAsia="仿宋_GB2312"/>
                      <w:sz w:val="24"/>
                    </w:rPr>
                    <w:t>保证车辆稳定性，</w:t>
                  </w:r>
                  <w:r>
                    <w:rPr>
                      <w:rFonts w:ascii="仿宋_GB2312" w:hAnsi="仿宋_GB2312" w:cs="仿宋_GB2312" w:eastAsia="仿宋_GB2312"/>
                      <w:sz w:val="24"/>
                    </w:rPr>
                    <w:t>为方便通行左侧配重不允许超出车身。</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543"/>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外形尺寸、总质量、作业能力图（供应商须提供相关参数文件或图纸或承诺等）</w:t>
                  </w:r>
                </w:p>
              </w:tc>
            </w:tr>
          </w:tbl>
          <w:p>
            <w:pPr>
              <w:pStyle w:val="null3"/>
              <w:jc w:val="both"/>
            </w:pPr>
            <w:r>
              <w:rPr>
                <w:rFonts w:ascii="仿宋_GB2312" w:hAnsi="仿宋_GB2312" w:cs="仿宋_GB2312" w:eastAsia="仿宋_GB2312"/>
                <w:sz w:val="24"/>
                <w:b/>
              </w:rPr>
              <w:t>三、采购要求</w:t>
            </w:r>
          </w:p>
          <w:p>
            <w:pPr>
              <w:pStyle w:val="null3"/>
              <w:jc w:val="both"/>
            </w:pPr>
            <w:r>
              <w:rPr>
                <w:rFonts w:ascii="仿宋_GB2312" w:hAnsi="仿宋_GB2312" w:cs="仿宋_GB2312" w:eastAsia="仿宋_GB2312"/>
                <w:sz w:val="24"/>
              </w:rPr>
              <w:t>1、所有报价设备（材料）必须有明确的生产厂家，且为国家优质产品或同类产品。</w:t>
            </w:r>
          </w:p>
          <w:p>
            <w:pPr>
              <w:pStyle w:val="null3"/>
              <w:jc w:val="both"/>
            </w:pPr>
            <w:r>
              <w:rPr>
                <w:rFonts w:ascii="仿宋_GB2312" w:hAnsi="仿宋_GB2312" w:cs="仿宋_GB2312" w:eastAsia="仿宋_GB2312"/>
                <w:sz w:val="24"/>
              </w:rPr>
              <w:t>2、本次桥梁检测车为定制桁架式桥梁检测车，</w:t>
            </w:r>
            <w:r>
              <w:rPr>
                <w:rFonts w:ascii="仿宋_GB2312" w:hAnsi="仿宋_GB2312" w:cs="仿宋_GB2312" w:eastAsia="仿宋_GB2312"/>
                <w:sz w:val="24"/>
              </w:rPr>
              <w:t>需</w:t>
            </w:r>
            <w:r>
              <w:rPr>
                <w:rFonts w:ascii="仿宋_GB2312" w:hAnsi="仿宋_GB2312" w:cs="仿宋_GB2312" w:eastAsia="仿宋_GB2312"/>
                <w:sz w:val="24"/>
              </w:rPr>
              <w:t>针对项目提供车辆的设计及研发，车辆设计需满足项目实际需求，符合国家及行业相关标准，最终设计方案需由采购人确认。</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、缺陷保修：如果设备交付使用后，缺陷多次反复出现，供货方必须提出分析报告和解决方案，直到最后调换，供货方提供的质保期从纠正之日起重新计算质保期。</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、如果是超出供方的责任范围的疏忽、误操作等情况而导致的更换修正，应由供货方进行修理，其额外费用由双方协商承担。</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成交</w:t>
            </w:r>
            <w:r>
              <w:rPr>
                <w:rFonts w:ascii="仿宋_GB2312" w:hAnsi="仿宋_GB2312" w:cs="仿宋_GB2312" w:eastAsia="仿宋_GB2312"/>
                <w:sz w:val="24"/>
              </w:rPr>
              <w:t>供应商</w:t>
            </w:r>
            <w:r>
              <w:rPr>
                <w:rFonts w:ascii="仿宋_GB2312" w:hAnsi="仿宋_GB2312" w:cs="仿宋_GB2312" w:eastAsia="仿宋_GB2312"/>
                <w:sz w:val="24"/>
              </w:rPr>
              <w:t>（中标人）</w:t>
            </w:r>
            <w:r>
              <w:rPr>
                <w:rFonts w:ascii="仿宋_GB2312" w:hAnsi="仿宋_GB2312" w:cs="仿宋_GB2312" w:eastAsia="仿宋_GB2312"/>
                <w:sz w:val="24"/>
              </w:rPr>
              <w:t>安排技术人员，对车辆的操作、保养等技术进行培训。</w:t>
            </w:r>
          </w:p>
          <w:p>
            <w:pPr>
              <w:pStyle w:val="null3"/>
              <w:jc w:val="both"/>
            </w:pPr>
            <w:r>
              <w:rPr>
                <w:rFonts w:ascii="仿宋_GB2312" w:hAnsi="仿宋_GB2312" w:cs="仿宋_GB2312" w:eastAsia="仿宋_GB2312"/>
                <w:sz w:val="24"/>
              </w:rPr>
              <w:t>6、最终交付的检测车须在投入使用前向采购人提供国家工信部的《车辆公告》文件、《车辆购置税免征公告》文件</w:t>
            </w:r>
          </w:p>
          <w:p>
            <w:pPr>
              <w:pStyle w:val="null3"/>
              <w:jc w:val="both"/>
            </w:pPr>
            <w:r>
              <w:rPr>
                <w:rFonts w:ascii="仿宋_GB2312" w:hAnsi="仿宋_GB2312" w:cs="仿宋_GB2312" w:eastAsia="仿宋_GB2312"/>
                <w:sz w:val="24"/>
                <w:b/>
              </w:rPr>
              <w:t>四、质量保证</w:t>
            </w:r>
          </w:p>
          <w:p>
            <w:pPr>
              <w:pStyle w:val="null3"/>
              <w:jc w:val="both"/>
            </w:pPr>
            <w:r>
              <w:rPr>
                <w:rFonts w:ascii="仿宋_GB2312" w:hAnsi="仿宋_GB2312" w:cs="仿宋_GB2312" w:eastAsia="仿宋_GB2312"/>
                <w:sz w:val="24"/>
              </w:rPr>
              <w:t>1、质保期为自验收合格交付使用后12个月，成交供应商承诺的质保时间超过招标文件要求的，按其承诺时间质保。</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成交</w:t>
            </w:r>
            <w:r>
              <w:rPr>
                <w:rFonts w:ascii="仿宋_GB2312" w:hAnsi="仿宋_GB2312" w:cs="仿宋_GB2312" w:eastAsia="仿宋_GB2312"/>
                <w:sz w:val="24"/>
              </w:rPr>
              <w:t>供应商</w:t>
            </w:r>
            <w:r>
              <w:rPr>
                <w:rFonts w:ascii="仿宋_GB2312" w:hAnsi="仿宋_GB2312" w:cs="仿宋_GB2312" w:eastAsia="仿宋_GB2312"/>
                <w:sz w:val="24"/>
              </w:rPr>
              <w:t>（中标人）</w:t>
            </w:r>
            <w:r>
              <w:rPr>
                <w:rFonts w:ascii="仿宋_GB2312" w:hAnsi="仿宋_GB2312" w:cs="仿宋_GB2312" w:eastAsia="仿宋_GB2312"/>
                <w:sz w:val="24"/>
              </w:rPr>
              <w:t>承诺的质保期起始时间为终验合格之日。</w:t>
            </w:r>
          </w:p>
          <w:p>
            <w:pPr>
              <w:pStyle w:val="null3"/>
              <w:jc w:val="both"/>
            </w:pPr>
            <w:r>
              <w:rPr>
                <w:rFonts w:ascii="仿宋_GB2312" w:hAnsi="仿宋_GB2312" w:cs="仿宋_GB2312" w:eastAsia="仿宋_GB2312"/>
                <w:sz w:val="24"/>
              </w:rPr>
              <w:t>3、所有货物及辅材必须是未使用过的新货物，质量优良、渠道正当，配置合理。</w:t>
            </w:r>
          </w:p>
          <w:p>
            <w:pPr>
              <w:pStyle w:val="null3"/>
              <w:jc w:val="both"/>
            </w:pPr>
            <w:r>
              <w:rPr>
                <w:rFonts w:ascii="仿宋_GB2312" w:hAnsi="仿宋_GB2312" w:cs="仿宋_GB2312" w:eastAsia="仿宋_GB2312"/>
                <w:sz w:val="24"/>
              </w:rPr>
              <w:t>4、质保期出现的质量问题由成交供应商负责解决并承担所有费用。质保期后如需更换零部件，</w:t>
            </w:r>
            <w:r>
              <w:rPr>
                <w:rFonts w:ascii="仿宋_GB2312" w:hAnsi="仿宋_GB2312" w:cs="仿宋_GB2312" w:eastAsia="仿宋_GB2312"/>
                <w:sz w:val="24"/>
              </w:rPr>
              <w:t>成交</w:t>
            </w:r>
            <w:r>
              <w:rPr>
                <w:rFonts w:ascii="仿宋_GB2312" w:hAnsi="仿宋_GB2312" w:cs="仿宋_GB2312" w:eastAsia="仿宋_GB2312"/>
                <w:sz w:val="24"/>
              </w:rPr>
              <w:t>供应商</w:t>
            </w:r>
            <w:r>
              <w:rPr>
                <w:rFonts w:ascii="仿宋_GB2312" w:hAnsi="仿宋_GB2312" w:cs="仿宋_GB2312" w:eastAsia="仿宋_GB2312"/>
                <w:sz w:val="24"/>
              </w:rPr>
              <w:t>（中标人）</w:t>
            </w:r>
            <w:r>
              <w:rPr>
                <w:rFonts w:ascii="仿宋_GB2312" w:hAnsi="仿宋_GB2312" w:cs="仿宋_GB2312" w:eastAsia="仿宋_GB2312"/>
                <w:sz w:val="24"/>
              </w:rPr>
              <w:t>应以成本价提供。</w:t>
            </w:r>
          </w:p>
          <w:p>
            <w:pPr>
              <w:pStyle w:val="null3"/>
              <w:jc w:val="both"/>
            </w:pPr>
            <w:r>
              <w:rPr>
                <w:rFonts w:ascii="仿宋_GB2312" w:hAnsi="仿宋_GB2312" w:cs="仿宋_GB2312" w:eastAsia="仿宋_GB2312"/>
                <w:sz w:val="24"/>
              </w:rPr>
              <w:t>5、所供货物是经过国家法定、准许市场销售的合法产品。</w:t>
            </w:r>
          </w:p>
          <w:p>
            <w:pPr>
              <w:pStyle w:val="null3"/>
              <w:jc w:val="both"/>
            </w:pPr>
            <w:r>
              <w:rPr>
                <w:rFonts w:ascii="仿宋_GB2312" w:hAnsi="仿宋_GB2312" w:cs="仿宋_GB2312" w:eastAsia="仿宋_GB2312"/>
                <w:sz w:val="24"/>
              </w:rPr>
              <w:t>6、货物性能稳定、具有较好的使用效果，质量保证措施完善，符合国家相关标准。</w:t>
            </w:r>
          </w:p>
          <w:p>
            <w:pPr>
              <w:pStyle w:val="null3"/>
              <w:jc w:val="both"/>
            </w:pPr>
            <w:r>
              <w:rPr>
                <w:rFonts w:ascii="仿宋_GB2312" w:hAnsi="仿宋_GB2312" w:cs="仿宋_GB2312" w:eastAsia="仿宋_GB2312"/>
                <w:sz w:val="24"/>
              </w:rPr>
              <w:t>7、货物的质保期按照“三包”原则执行。</w:t>
            </w:r>
          </w:p>
          <w:p>
            <w:pPr>
              <w:pStyle w:val="null3"/>
              <w:jc w:val="both"/>
            </w:pPr>
            <w:r>
              <w:rPr>
                <w:rFonts w:ascii="仿宋_GB2312" w:hAnsi="仿宋_GB2312" w:cs="仿宋_GB2312" w:eastAsia="仿宋_GB2312"/>
                <w:sz w:val="24"/>
                <w:b/>
              </w:rPr>
              <w:t>五、</w:t>
            </w:r>
            <w:r>
              <w:rPr>
                <w:rFonts w:ascii="仿宋_GB2312" w:hAnsi="仿宋_GB2312" w:cs="仿宋_GB2312" w:eastAsia="仿宋_GB2312"/>
                <w:sz w:val="24"/>
                <w:b/>
              </w:rPr>
              <w:t>车辆调试</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调试</w:t>
            </w:r>
            <w:r>
              <w:rPr>
                <w:rFonts w:ascii="仿宋_GB2312" w:hAnsi="仿宋_GB2312" w:cs="仿宋_GB2312" w:eastAsia="仿宋_GB2312"/>
                <w:sz w:val="24"/>
              </w:rPr>
              <w:t>过程中不损坏原物品，如有损坏供应商需承担相应责任。</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成交</w:t>
            </w:r>
            <w:r>
              <w:rPr>
                <w:rFonts w:ascii="仿宋_GB2312" w:hAnsi="仿宋_GB2312" w:cs="仿宋_GB2312" w:eastAsia="仿宋_GB2312"/>
                <w:sz w:val="24"/>
              </w:rPr>
              <w:t>供应商</w:t>
            </w:r>
            <w:r>
              <w:rPr>
                <w:rFonts w:ascii="仿宋_GB2312" w:hAnsi="仿宋_GB2312" w:cs="仿宋_GB2312" w:eastAsia="仿宋_GB2312"/>
                <w:sz w:val="24"/>
              </w:rPr>
              <w:t>（中标人）</w:t>
            </w:r>
            <w:r>
              <w:rPr>
                <w:rFonts w:ascii="仿宋_GB2312" w:hAnsi="仿宋_GB2312" w:cs="仿宋_GB2312" w:eastAsia="仿宋_GB2312"/>
                <w:sz w:val="24"/>
              </w:rPr>
              <w:t>须按要求负责完成对本项目</w:t>
            </w:r>
            <w:r>
              <w:rPr>
                <w:rFonts w:ascii="仿宋_GB2312" w:hAnsi="仿宋_GB2312" w:cs="仿宋_GB2312" w:eastAsia="仿宋_GB2312"/>
                <w:sz w:val="24"/>
              </w:rPr>
              <w:t>车辆</w:t>
            </w:r>
            <w:r>
              <w:rPr>
                <w:rFonts w:ascii="仿宋_GB2312" w:hAnsi="仿宋_GB2312" w:cs="仿宋_GB2312" w:eastAsia="仿宋_GB2312"/>
                <w:sz w:val="24"/>
              </w:rPr>
              <w:t>的调试、测试等工作。</w:t>
            </w:r>
          </w:p>
          <w:p>
            <w:pPr>
              <w:pStyle w:val="null3"/>
              <w:jc w:val="both"/>
            </w:pPr>
            <w:r>
              <w:rPr>
                <w:rFonts w:ascii="仿宋_GB2312" w:hAnsi="仿宋_GB2312" w:cs="仿宋_GB2312" w:eastAsia="仿宋_GB2312"/>
                <w:sz w:val="24"/>
              </w:rPr>
              <w:t>3、项目实施完成后，应向采购人提供详尽的文档资料（包括配置文档、使用手册等相关技术资料）。</w:t>
            </w:r>
          </w:p>
          <w:p>
            <w:pPr>
              <w:pStyle w:val="null3"/>
              <w:jc w:val="both"/>
            </w:pPr>
            <w:r>
              <w:rPr>
                <w:rFonts w:ascii="仿宋_GB2312" w:hAnsi="仿宋_GB2312" w:cs="仿宋_GB2312" w:eastAsia="仿宋_GB2312"/>
                <w:sz w:val="24"/>
                <w:b/>
              </w:rPr>
              <w:t>六、商务要求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4"/>
              </w:rPr>
              <w:t>交货期：合同签订之日起</w:t>
            </w:r>
            <w:r>
              <w:rPr>
                <w:rFonts w:ascii="仿宋_GB2312" w:hAnsi="仿宋_GB2312" w:cs="仿宋_GB2312" w:eastAsia="仿宋_GB2312"/>
                <w:sz w:val="24"/>
              </w:rPr>
              <w:t>300日历天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2、交货地点：按照采购人指定地点。</w:t>
            </w:r>
          </w:p>
          <w:p>
            <w:pPr>
              <w:pStyle w:val="null3"/>
              <w:jc w:val="both"/>
            </w:pPr>
            <w:r>
              <w:rPr>
                <w:rFonts w:ascii="仿宋_GB2312" w:hAnsi="仿宋_GB2312" w:cs="仿宋_GB2312" w:eastAsia="仿宋_GB2312"/>
                <w:sz w:val="24"/>
              </w:rPr>
              <w:t>3、质保期：验收合格之日起12个月。</w:t>
            </w:r>
          </w:p>
          <w:p>
            <w:pPr>
              <w:pStyle w:val="null3"/>
              <w:jc w:val="both"/>
            </w:pPr>
            <w:r>
              <w:rPr>
                <w:rFonts w:ascii="仿宋_GB2312" w:hAnsi="仿宋_GB2312" w:cs="仿宋_GB2312" w:eastAsia="仿宋_GB2312"/>
                <w:sz w:val="24"/>
              </w:rPr>
              <w:t>4、付款方式：</w:t>
            </w:r>
            <w:r>
              <w:rPr>
                <w:rFonts w:ascii="仿宋_GB2312" w:hAnsi="仿宋_GB2312" w:cs="仿宋_GB2312" w:eastAsia="仿宋_GB2312"/>
                <w:sz w:val="24"/>
              </w:rPr>
              <w:t>合同签订后十个工作日内采购人支付成交供应商合同总金额百分之八十，车辆验收合格并交付之后采购人在</w:t>
            </w:r>
            <w:r>
              <w:rPr>
                <w:rFonts w:ascii="仿宋_GB2312" w:hAnsi="仿宋_GB2312" w:cs="仿宋_GB2312" w:eastAsia="仿宋_GB2312"/>
                <w:sz w:val="24"/>
              </w:rPr>
              <w:t>十个工作日</w:t>
            </w:r>
            <w:r>
              <w:rPr>
                <w:rFonts w:ascii="仿宋_GB2312" w:hAnsi="仿宋_GB2312" w:cs="仿宋_GB2312" w:eastAsia="仿宋_GB2312"/>
                <w:sz w:val="24"/>
              </w:rPr>
              <w:t>内</w:t>
            </w:r>
            <w:r>
              <w:rPr>
                <w:rFonts w:ascii="仿宋_GB2312" w:hAnsi="仿宋_GB2312" w:cs="仿宋_GB2312" w:eastAsia="仿宋_GB2312"/>
                <w:sz w:val="24"/>
              </w:rPr>
              <w:t>一次性支付剩余合同全部款项。</w:t>
            </w:r>
          </w:p>
          <w:p>
            <w:pPr>
              <w:pStyle w:val="null3"/>
              <w:jc w:val="both"/>
            </w:pPr>
            <w:r>
              <w:rPr>
                <w:rFonts w:ascii="仿宋_GB2312" w:hAnsi="仿宋_GB2312" w:cs="仿宋_GB2312" w:eastAsia="仿宋_GB2312"/>
                <w:sz w:val="24"/>
              </w:rPr>
              <w:t>5、包装、运输要求：</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1"/>
              </w:rPr>
              <w:t xml:space="preserve"> </w:t>
            </w:r>
            <w:r>
              <w:rPr>
                <w:rFonts w:ascii="仿宋_GB2312" w:hAnsi="仿宋_GB2312" w:cs="仿宋_GB2312" w:eastAsia="仿宋_GB2312"/>
                <w:sz w:val="24"/>
              </w:rPr>
              <w:t>包装：应采取防潮、防晒、防腐蚀、防震动及防止</w:t>
            </w:r>
            <w:r>
              <w:rPr>
                <w:rFonts w:ascii="仿宋_GB2312" w:hAnsi="仿宋_GB2312" w:cs="仿宋_GB2312" w:eastAsia="仿宋_GB2312"/>
                <w:sz w:val="24"/>
              </w:rPr>
              <w:t>其他损坏</w:t>
            </w:r>
            <w:r>
              <w:rPr>
                <w:rFonts w:ascii="仿宋_GB2312" w:hAnsi="仿宋_GB2312" w:cs="仿宋_GB2312" w:eastAsia="仿宋_GB2312"/>
                <w:sz w:val="24"/>
              </w:rPr>
              <w:t>的必要措施。</w:t>
            </w:r>
            <w:r>
              <w:rPr>
                <w:rFonts w:ascii="仿宋_GB2312" w:hAnsi="仿宋_GB2312" w:cs="仿宋_GB2312" w:eastAsia="仿宋_GB2312"/>
                <w:sz w:val="24"/>
              </w:rPr>
              <w:t>成交</w:t>
            </w:r>
            <w:r>
              <w:rPr>
                <w:rFonts w:ascii="仿宋_GB2312" w:hAnsi="仿宋_GB2312" w:cs="仿宋_GB2312" w:eastAsia="仿宋_GB2312"/>
                <w:sz w:val="24"/>
              </w:rPr>
              <w:t>供应商</w:t>
            </w:r>
            <w:r>
              <w:rPr>
                <w:rFonts w:ascii="仿宋_GB2312" w:hAnsi="仿宋_GB2312" w:cs="仿宋_GB2312" w:eastAsia="仿宋_GB2312"/>
                <w:sz w:val="24"/>
              </w:rPr>
              <w:t>（中标人）</w:t>
            </w:r>
            <w:r>
              <w:rPr>
                <w:rFonts w:ascii="仿宋_GB2312" w:hAnsi="仿宋_GB2312" w:cs="仿宋_GB2312" w:eastAsia="仿宋_GB2312"/>
                <w:sz w:val="24"/>
              </w:rPr>
              <w:t>应承担由于其包装或防护措施不妥而引起的货物锈蚀、损坏和丢失等任何损失造成的责任或费用。</w:t>
            </w:r>
          </w:p>
          <w:p>
            <w:pPr>
              <w:pStyle w:val="null3"/>
              <w:jc w:val="both"/>
            </w:pPr>
            <w:r>
              <w:rPr>
                <w:rFonts w:ascii="仿宋_GB2312" w:hAnsi="仿宋_GB2312" w:cs="仿宋_GB2312" w:eastAsia="仿宋_GB2312"/>
                <w:sz w:val="24"/>
              </w:rPr>
              <w:t>②</w:t>
            </w:r>
            <w:r>
              <w:rPr>
                <w:rFonts w:ascii="仿宋_GB2312" w:hAnsi="仿宋_GB2312" w:cs="仿宋_GB2312" w:eastAsia="仿宋_GB2312"/>
                <w:sz w:val="21"/>
              </w:rPr>
              <w:t xml:space="preserve"> </w:t>
            </w:r>
            <w:r>
              <w:rPr>
                <w:rFonts w:ascii="仿宋_GB2312" w:hAnsi="仿宋_GB2312" w:cs="仿宋_GB2312" w:eastAsia="仿宋_GB2312"/>
                <w:sz w:val="24"/>
              </w:rPr>
              <w:t>运输：选择运输风险小、运费低、距离短的运输路线。运杂费全部包在总价内，包括生产到交货验收现场所需的装卸、运输（含保险费）、现场保管费、二次倒运费等费用。</w:t>
            </w:r>
          </w:p>
          <w:p>
            <w:pPr>
              <w:pStyle w:val="null3"/>
              <w:jc w:val="both"/>
            </w:pPr>
            <w:r>
              <w:rPr>
                <w:rFonts w:ascii="仿宋_GB2312" w:hAnsi="仿宋_GB2312" w:cs="仿宋_GB2312" w:eastAsia="仿宋_GB2312"/>
                <w:sz w:val="24"/>
              </w:rPr>
              <w:t>6、验收</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1"/>
              </w:rPr>
              <w:t xml:space="preserve"> </w:t>
            </w:r>
            <w:r>
              <w:rPr>
                <w:rFonts w:ascii="仿宋_GB2312" w:hAnsi="仿宋_GB2312" w:cs="仿宋_GB2312" w:eastAsia="仿宋_GB2312"/>
                <w:sz w:val="24"/>
              </w:rPr>
              <w:t>由采购人和</w:t>
            </w:r>
            <w:r>
              <w:rPr>
                <w:rFonts w:ascii="仿宋_GB2312" w:hAnsi="仿宋_GB2312" w:cs="仿宋_GB2312" w:eastAsia="仿宋_GB2312"/>
                <w:sz w:val="24"/>
              </w:rPr>
              <w:t>成交</w:t>
            </w:r>
            <w:r>
              <w:rPr>
                <w:rFonts w:ascii="仿宋_GB2312" w:hAnsi="仿宋_GB2312" w:cs="仿宋_GB2312" w:eastAsia="仿宋_GB2312"/>
                <w:sz w:val="24"/>
              </w:rPr>
              <w:t>供应商</w:t>
            </w:r>
            <w:r>
              <w:rPr>
                <w:rFonts w:ascii="仿宋_GB2312" w:hAnsi="仿宋_GB2312" w:cs="仿宋_GB2312" w:eastAsia="仿宋_GB2312"/>
                <w:sz w:val="24"/>
              </w:rPr>
              <w:t>（中标人）</w:t>
            </w:r>
            <w:r>
              <w:rPr>
                <w:rFonts w:ascii="仿宋_GB2312" w:hAnsi="仿宋_GB2312" w:cs="仿宋_GB2312" w:eastAsia="仿宋_GB2312"/>
                <w:sz w:val="24"/>
              </w:rPr>
              <w:t>共同对设备整体进行验收。其内容包括确认产品的产地、规格、型号和数量，对其产品技术指标、采购要求及性能参数是否达到现行国家有关验收规范</w:t>
            </w:r>
            <w:r>
              <w:rPr>
                <w:rFonts w:ascii="仿宋_GB2312" w:hAnsi="仿宋_GB2312" w:cs="仿宋_GB2312" w:eastAsia="仿宋_GB2312"/>
                <w:sz w:val="24"/>
              </w:rPr>
              <w:t>“</w:t>
            </w:r>
            <w:r>
              <w:rPr>
                <w:rFonts w:ascii="仿宋_GB2312" w:hAnsi="仿宋_GB2312" w:cs="仿宋_GB2312" w:eastAsia="仿宋_GB2312"/>
                <w:sz w:val="24"/>
              </w:rPr>
              <w:t>合格</w:t>
            </w:r>
            <w:r>
              <w:rPr>
                <w:rFonts w:ascii="仿宋_GB2312" w:hAnsi="仿宋_GB2312" w:cs="仿宋_GB2312" w:eastAsia="仿宋_GB2312"/>
                <w:sz w:val="24"/>
              </w:rPr>
              <w:t>”</w:t>
            </w:r>
            <w:r>
              <w:rPr>
                <w:rFonts w:ascii="仿宋_GB2312" w:hAnsi="仿宋_GB2312" w:cs="仿宋_GB2312" w:eastAsia="仿宋_GB2312"/>
                <w:sz w:val="24"/>
              </w:rPr>
              <w:t>标准进行逐项检查。</w:t>
            </w:r>
          </w:p>
          <w:p>
            <w:pPr>
              <w:pStyle w:val="null3"/>
              <w:jc w:val="both"/>
            </w:pPr>
            <w:r>
              <w:rPr>
                <w:rFonts w:ascii="仿宋_GB2312" w:hAnsi="仿宋_GB2312" w:cs="仿宋_GB2312" w:eastAsia="仿宋_GB2312"/>
                <w:sz w:val="24"/>
              </w:rPr>
              <w:t>②</w:t>
            </w:r>
            <w:r>
              <w:rPr>
                <w:rFonts w:ascii="仿宋_GB2312" w:hAnsi="仿宋_GB2312" w:cs="仿宋_GB2312" w:eastAsia="仿宋_GB2312"/>
                <w:sz w:val="21"/>
              </w:rPr>
              <w:t xml:space="preserve"> </w:t>
            </w:r>
            <w:r>
              <w:rPr>
                <w:rFonts w:ascii="仿宋_GB2312" w:hAnsi="仿宋_GB2312" w:cs="仿宋_GB2312" w:eastAsia="仿宋_GB2312"/>
                <w:sz w:val="24"/>
              </w:rPr>
              <w:t>所验产品的指标、性能参数通过验收达不到招标文件要求和投标文件承诺的，或在使用中发现采购人不能容忍的缺陷等，将视为产品验收不合格，供应商应无条件免费更换或退货。</w:t>
            </w:r>
          </w:p>
          <w:p>
            <w:pPr>
              <w:pStyle w:val="null3"/>
              <w:jc w:val="both"/>
            </w:pPr>
            <w:r>
              <w:rPr>
                <w:rFonts w:ascii="仿宋_GB2312" w:hAnsi="仿宋_GB2312" w:cs="仿宋_GB2312" w:eastAsia="仿宋_GB2312"/>
                <w:sz w:val="24"/>
              </w:rPr>
              <w:t>③</w:t>
            </w:r>
            <w:r>
              <w:rPr>
                <w:rFonts w:ascii="仿宋_GB2312" w:hAnsi="仿宋_GB2312" w:cs="仿宋_GB2312" w:eastAsia="仿宋_GB2312"/>
                <w:sz w:val="21"/>
              </w:rPr>
              <w:t xml:space="preserve"> </w:t>
            </w:r>
            <w:r>
              <w:rPr>
                <w:rFonts w:ascii="仿宋_GB2312" w:hAnsi="仿宋_GB2312" w:cs="仿宋_GB2312" w:eastAsia="仿宋_GB2312"/>
                <w:sz w:val="24"/>
              </w:rPr>
              <w:t>若发现供应商有弄虚作假的，在投标阶段故意或随意夸大产品技术性能，供应商应无条件退货，并赔偿采购人相应的损失。</w:t>
            </w:r>
          </w:p>
          <w:p>
            <w:pPr>
              <w:pStyle w:val="null3"/>
              <w:jc w:val="both"/>
            </w:pPr>
            <w:r>
              <w:rPr>
                <w:rFonts w:ascii="仿宋_GB2312" w:hAnsi="仿宋_GB2312" w:cs="仿宋_GB2312" w:eastAsia="仿宋_GB2312"/>
                <w:sz w:val="24"/>
              </w:rPr>
              <w:t>④</w:t>
            </w:r>
            <w:r>
              <w:rPr>
                <w:rFonts w:ascii="仿宋_GB2312" w:hAnsi="仿宋_GB2312" w:cs="仿宋_GB2312" w:eastAsia="仿宋_GB2312"/>
                <w:sz w:val="21"/>
              </w:rPr>
              <w:t xml:space="preserve"> </w:t>
            </w:r>
            <w:r>
              <w:rPr>
                <w:rFonts w:ascii="仿宋_GB2312" w:hAnsi="仿宋_GB2312" w:cs="仿宋_GB2312" w:eastAsia="仿宋_GB2312"/>
                <w:sz w:val="24"/>
              </w:rPr>
              <w:t>验收标准：按招标文件、投标</w:t>
            </w:r>
            <w:r>
              <w:rPr>
                <w:rFonts w:ascii="仿宋_GB2312" w:hAnsi="仿宋_GB2312" w:cs="仿宋_GB2312" w:eastAsia="仿宋_GB2312"/>
                <w:sz w:val="24"/>
              </w:rPr>
              <w:t>响应</w:t>
            </w:r>
            <w:r>
              <w:rPr>
                <w:rFonts w:ascii="仿宋_GB2312" w:hAnsi="仿宋_GB2312" w:cs="仿宋_GB2312" w:eastAsia="仿宋_GB2312"/>
                <w:sz w:val="24"/>
              </w:rPr>
              <w:t>文件等技术指标进行验收。各项指标均应符合验收标准及要求。</w:t>
            </w:r>
          </w:p>
          <w:p>
            <w:pPr>
              <w:pStyle w:val="null3"/>
              <w:jc w:val="both"/>
            </w:pPr>
            <w:r>
              <w:rPr>
                <w:rFonts w:ascii="仿宋_GB2312" w:hAnsi="仿宋_GB2312" w:cs="仿宋_GB2312" w:eastAsia="仿宋_GB2312"/>
                <w:sz w:val="24"/>
              </w:rPr>
              <w:t>⑤</w:t>
            </w:r>
            <w:r>
              <w:rPr>
                <w:rFonts w:ascii="仿宋_GB2312" w:hAnsi="仿宋_GB2312" w:cs="仿宋_GB2312" w:eastAsia="仿宋_GB2312"/>
                <w:sz w:val="21"/>
              </w:rPr>
              <w:t xml:space="preserve"> </w:t>
            </w:r>
            <w:r>
              <w:rPr>
                <w:rFonts w:ascii="仿宋_GB2312" w:hAnsi="仿宋_GB2312" w:cs="仿宋_GB2312" w:eastAsia="仿宋_GB2312"/>
                <w:sz w:val="24"/>
              </w:rPr>
              <w:t>验收合格后，填写验收单，双方签字生效。</w:t>
            </w:r>
          </w:p>
          <w:p>
            <w:pPr>
              <w:pStyle w:val="null3"/>
              <w:jc w:val="both"/>
            </w:pPr>
            <w:r>
              <w:rPr>
                <w:rFonts w:ascii="仿宋_GB2312" w:hAnsi="仿宋_GB2312" w:cs="仿宋_GB2312" w:eastAsia="仿宋_GB2312"/>
                <w:sz w:val="24"/>
              </w:rPr>
              <w:t>⑥</w:t>
            </w:r>
            <w:r>
              <w:rPr>
                <w:rFonts w:ascii="仿宋_GB2312" w:hAnsi="仿宋_GB2312" w:cs="仿宋_GB2312" w:eastAsia="仿宋_GB2312"/>
                <w:sz w:val="21"/>
              </w:rPr>
              <w:t xml:space="preserve"> </w:t>
            </w:r>
            <w:r>
              <w:rPr>
                <w:rFonts w:ascii="仿宋_GB2312" w:hAnsi="仿宋_GB2312" w:cs="仿宋_GB2312" w:eastAsia="仿宋_GB2312"/>
                <w:sz w:val="24"/>
              </w:rPr>
              <w:t>验收依据：</w:t>
            </w:r>
          </w:p>
          <w:p>
            <w:pPr>
              <w:pStyle w:val="null3"/>
              <w:jc w:val="both"/>
            </w:pPr>
            <w:r>
              <w:rPr>
                <w:rFonts w:ascii="仿宋_GB2312" w:hAnsi="仿宋_GB2312" w:cs="仿宋_GB2312" w:eastAsia="仿宋_GB2312"/>
                <w:sz w:val="24"/>
              </w:rPr>
              <w:t>a)合同文本；</w:t>
            </w:r>
          </w:p>
          <w:p>
            <w:pPr>
              <w:pStyle w:val="null3"/>
              <w:jc w:val="both"/>
            </w:pPr>
            <w:r>
              <w:rPr>
                <w:rFonts w:ascii="仿宋_GB2312" w:hAnsi="仿宋_GB2312" w:cs="仿宋_GB2312" w:eastAsia="仿宋_GB2312"/>
                <w:sz w:val="24"/>
              </w:rPr>
              <w:t>b)投标</w:t>
            </w:r>
            <w:r>
              <w:rPr>
                <w:rFonts w:ascii="仿宋_GB2312" w:hAnsi="仿宋_GB2312" w:cs="仿宋_GB2312" w:eastAsia="仿宋_GB2312"/>
                <w:sz w:val="24"/>
              </w:rPr>
              <w:t>响应</w:t>
            </w:r>
            <w:r>
              <w:rPr>
                <w:rFonts w:ascii="仿宋_GB2312" w:hAnsi="仿宋_GB2312" w:cs="仿宋_GB2312" w:eastAsia="仿宋_GB2312"/>
                <w:sz w:val="24"/>
              </w:rPr>
              <w:t>文件、招标文件；</w:t>
            </w:r>
          </w:p>
          <w:p>
            <w:pPr>
              <w:pStyle w:val="null3"/>
              <w:jc w:val="both"/>
            </w:pPr>
            <w:r>
              <w:rPr>
                <w:rFonts w:ascii="仿宋_GB2312" w:hAnsi="仿宋_GB2312" w:cs="仿宋_GB2312" w:eastAsia="仿宋_GB2312"/>
                <w:sz w:val="24"/>
              </w:rPr>
              <w:t>c)国家和行业制定的相应的标准和规范；</w:t>
            </w:r>
          </w:p>
          <w:p>
            <w:pPr>
              <w:pStyle w:val="null3"/>
              <w:jc w:val="both"/>
            </w:pPr>
            <w:r>
              <w:rPr>
                <w:rFonts w:ascii="仿宋_GB2312" w:hAnsi="仿宋_GB2312" w:cs="仿宋_GB2312" w:eastAsia="仿宋_GB2312"/>
                <w:sz w:val="24"/>
              </w:rPr>
              <w:t>d)产品验收清单（注明品名、数量、规格和原产地或生产厂家）。</w:t>
            </w:r>
          </w:p>
          <w:p>
            <w:pPr>
              <w:pStyle w:val="null3"/>
              <w:jc w:val="both"/>
            </w:pPr>
            <w:r>
              <w:rPr>
                <w:rFonts w:ascii="仿宋_GB2312" w:hAnsi="仿宋_GB2312" w:cs="仿宋_GB2312" w:eastAsia="仿宋_GB2312"/>
                <w:sz w:val="24"/>
              </w:rPr>
              <w:t>7、履约保证</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1"/>
              </w:rPr>
              <w:t xml:space="preserve"> </w:t>
            </w:r>
            <w:r>
              <w:rPr>
                <w:rFonts w:ascii="仿宋_GB2312" w:hAnsi="仿宋_GB2312" w:cs="仿宋_GB2312" w:eastAsia="仿宋_GB2312"/>
                <w:sz w:val="24"/>
              </w:rPr>
              <w:t>所采购的货物须符合本次采购的质量要求。</w:t>
            </w:r>
          </w:p>
          <w:p>
            <w:pPr>
              <w:pStyle w:val="null3"/>
              <w:jc w:val="both"/>
            </w:pPr>
            <w:r>
              <w:rPr>
                <w:rFonts w:ascii="仿宋_GB2312" w:hAnsi="仿宋_GB2312" w:cs="仿宋_GB2312" w:eastAsia="仿宋_GB2312"/>
                <w:sz w:val="24"/>
              </w:rPr>
              <w:t>②</w:t>
            </w:r>
            <w:r>
              <w:rPr>
                <w:rFonts w:ascii="仿宋_GB2312" w:hAnsi="仿宋_GB2312" w:cs="仿宋_GB2312" w:eastAsia="仿宋_GB2312"/>
                <w:sz w:val="24"/>
              </w:rPr>
              <w:t xml:space="preserve"> </w:t>
            </w:r>
            <w:r>
              <w:rPr>
                <w:rFonts w:ascii="仿宋_GB2312" w:hAnsi="仿宋_GB2312" w:cs="仿宋_GB2312" w:eastAsia="仿宋_GB2312"/>
                <w:sz w:val="24"/>
              </w:rPr>
              <w:t>采购</w:t>
            </w:r>
            <w:r>
              <w:rPr>
                <w:rFonts w:ascii="仿宋_GB2312" w:hAnsi="仿宋_GB2312" w:cs="仿宋_GB2312" w:eastAsia="仿宋_GB2312"/>
                <w:sz w:val="24"/>
              </w:rPr>
              <w:t>结果公示期结束后</w:t>
            </w:r>
            <w:r>
              <w:rPr>
                <w:rFonts w:ascii="仿宋_GB2312" w:hAnsi="仿宋_GB2312" w:cs="仿宋_GB2312" w:eastAsia="仿宋_GB2312"/>
                <w:sz w:val="24"/>
              </w:rPr>
              <w:t>30天内，</w:t>
            </w:r>
            <w:r>
              <w:rPr>
                <w:rFonts w:ascii="仿宋_GB2312" w:hAnsi="仿宋_GB2312" w:cs="仿宋_GB2312" w:eastAsia="仿宋_GB2312"/>
                <w:sz w:val="24"/>
              </w:rPr>
              <w:t>成交</w:t>
            </w:r>
            <w:r>
              <w:rPr>
                <w:rFonts w:ascii="仿宋_GB2312" w:hAnsi="仿宋_GB2312" w:cs="仿宋_GB2312" w:eastAsia="仿宋_GB2312"/>
                <w:sz w:val="24"/>
              </w:rPr>
              <w:t>供应商</w:t>
            </w:r>
            <w:r>
              <w:rPr>
                <w:rFonts w:ascii="仿宋_GB2312" w:hAnsi="仿宋_GB2312" w:cs="仿宋_GB2312" w:eastAsia="仿宋_GB2312"/>
                <w:sz w:val="24"/>
              </w:rPr>
              <w:t>（中标人）</w:t>
            </w:r>
            <w:r>
              <w:rPr>
                <w:rFonts w:ascii="仿宋_GB2312" w:hAnsi="仿宋_GB2312" w:cs="仿宋_GB2312" w:eastAsia="仿宋_GB2312"/>
                <w:sz w:val="24"/>
              </w:rPr>
              <w:t>须主动与采购方联系并签订采购合同。若逾期未签订合同或无正当理由拒绝签订合同，视为自动放弃中标资格，采购人将向政府采购监督管理部门上报违约情况，该后果由</w:t>
            </w:r>
            <w:r>
              <w:rPr>
                <w:rFonts w:ascii="仿宋_GB2312" w:hAnsi="仿宋_GB2312" w:cs="仿宋_GB2312" w:eastAsia="仿宋_GB2312"/>
                <w:sz w:val="24"/>
              </w:rPr>
              <w:t>成交</w:t>
            </w:r>
            <w:r>
              <w:rPr>
                <w:rFonts w:ascii="仿宋_GB2312" w:hAnsi="仿宋_GB2312" w:cs="仿宋_GB2312" w:eastAsia="仿宋_GB2312"/>
                <w:sz w:val="24"/>
              </w:rPr>
              <w:t>供应商</w:t>
            </w:r>
            <w:r>
              <w:rPr>
                <w:rFonts w:ascii="仿宋_GB2312" w:hAnsi="仿宋_GB2312" w:cs="仿宋_GB2312" w:eastAsia="仿宋_GB2312"/>
                <w:sz w:val="24"/>
              </w:rPr>
              <w:t>（中标人）</w:t>
            </w:r>
            <w:r>
              <w:rPr>
                <w:rFonts w:ascii="仿宋_GB2312" w:hAnsi="仿宋_GB2312" w:cs="仿宋_GB2312" w:eastAsia="仿宋_GB2312"/>
                <w:sz w:val="24"/>
              </w:rPr>
              <w:t>自行承担。</w:t>
            </w:r>
          </w:p>
          <w:p>
            <w:pPr>
              <w:pStyle w:val="null3"/>
              <w:jc w:val="both"/>
            </w:pPr>
            <w:r>
              <w:rPr>
                <w:rFonts w:ascii="仿宋_GB2312" w:hAnsi="仿宋_GB2312" w:cs="仿宋_GB2312" w:eastAsia="仿宋_GB2312"/>
                <w:sz w:val="24"/>
              </w:rPr>
              <w:t>③</w:t>
            </w:r>
            <w:r>
              <w:rPr>
                <w:rFonts w:ascii="仿宋_GB2312" w:hAnsi="仿宋_GB2312" w:cs="仿宋_GB2312" w:eastAsia="仿宋_GB2312"/>
                <w:sz w:val="21"/>
              </w:rPr>
              <w:t xml:space="preserve"> </w:t>
            </w:r>
            <w:r>
              <w:rPr>
                <w:rFonts w:ascii="仿宋_GB2312" w:hAnsi="仿宋_GB2312" w:cs="仿宋_GB2312" w:eastAsia="仿宋_GB2312"/>
                <w:sz w:val="24"/>
              </w:rPr>
              <w:t>提供的产品及配套的设施、配件、服务等，符合国家与行业相关规定与要求。若无法满足上述所有需求，在签订合同书</w:t>
            </w:r>
            <w:r>
              <w:rPr>
                <w:rFonts w:ascii="仿宋_GB2312" w:hAnsi="仿宋_GB2312" w:cs="仿宋_GB2312" w:eastAsia="仿宋_GB2312"/>
                <w:sz w:val="24"/>
              </w:rPr>
              <w:t>30天之内，</w:t>
            </w:r>
            <w:r>
              <w:rPr>
                <w:rFonts w:ascii="仿宋_GB2312" w:hAnsi="仿宋_GB2312" w:cs="仿宋_GB2312" w:eastAsia="仿宋_GB2312"/>
                <w:sz w:val="24"/>
              </w:rPr>
              <w:t>成交</w:t>
            </w:r>
            <w:r>
              <w:rPr>
                <w:rFonts w:ascii="仿宋_GB2312" w:hAnsi="仿宋_GB2312" w:cs="仿宋_GB2312" w:eastAsia="仿宋_GB2312"/>
                <w:sz w:val="24"/>
              </w:rPr>
              <w:t>供应商</w:t>
            </w:r>
            <w:r>
              <w:rPr>
                <w:rFonts w:ascii="仿宋_GB2312" w:hAnsi="仿宋_GB2312" w:cs="仿宋_GB2312" w:eastAsia="仿宋_GB2312"/>
                <w:sz w:val="24"/>
              </w:rPr>
              <w:t>（中标人）</w:t>
            </w:r>
            <w:r>
              <w:rPr>
                <w:rFonts w:ascii="仿宋_GB2312" w:hAnsi="仿宋_GB2312" w:cs="仿宋_GB2312" w:eastAsia="仿宋_GB2312"/>
                <w:sz w:val="24"/>
              </w:rPr>
              <w:t>需采取可行的方法进行修正与补救，并不得要求采购方承担任何费用。若在上述规定的时间之内没有执行修正与补救措施，或经过修正与补救后仍然无法满足采购方上述所有需求，采购方有权单方面解除采购合同，并且不承担任何责任与后果，同时追究</w:t>
            </w:r>
            <w:r>
              <w:rPr>
                <w:rFonts w:ascii="仿宋_GB2312" w:hAnsi="仿宋_GB2312" w:cs="仿宋_GB2312" w:eastAsia="仿宋_GB2312"/>
                <w:sz w:val="24"/>
              </w:rPr>
              <w:t>成交</w:t>
            </w:r>
            <w:r>
              <w:rPr>
                <w:rFonts w:ascii="仿宋_GB2312" w:hAnsi="仿宋_GB2312" w:cs="仿宋_GB2312" w:eastAsia="仿宋_GB2312"/>
                <w:sz w:val="24"/>
              </w:rPr>
              <w:t>供应商</w:t>
            </w:r>
            <w:r>
              <w:rPr>
                <w:rFonts w:ascii="仿宋_GB2312" w:hAnsi="仿宋_GB2312" w:cs="仿宋_GB2312" w:eastAsia="仿宋_GB2312"/>
                <w:sz w:val="24"/>
              </w:rPr>
              <w:t>（中标人）</w:t>
            </w:r>
            <w:r>
              <w:rPr>
                <w:rFonts w:ascii="仿宋_GB2312" w:hAnsi="仿宋_GB2312" w:cs="仿宋_GB2312" w:eastAsia="仿宋_GB2312"/>
                <w:sz w:val="24"/>
              </w:rPr>
              <w:t>的违约责任，对采购方造成损失的可继续追偿。</w:t>
            </w:r>
          </w:p>
          <w:p>
            <w:pPr>
              <w:pStyle w:val="null3"/>
              <w:jc w:val="both"/>
            </w:pPr>
            <w:r>
              <w:rPr>
                <w:rFonts w:ascii="仿宋_GB2312" w:hAnsi="仿宋_GB2312" w:cs="仿宋_GB2312" w:eastAsia="仿宋_GB2312"/>
                <w:sz w:val="24"/>
              </w:rPr>
              <w:t>8、违约责任：</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1"/>
              </w:rPr>
              <w:t xml:space="preserve"> </w:t>
            </w:r>
            <w:r>
              <w:rPr>
                <w:rFonts w:ascii="仿宋_GB2312" w:hAnsi="仿宋_GB2312" w:cs="仿宋_GB2312" w:eastAsia="仿宋_GB2312"/>
                <w:sz w:val="24"/>
              </w:rPr>
              <w:t>按《中华人民共和国民法典》中的相关条款执行。</w:t>
            </w:r>
          </w:p>
          <w:p>
            <w:pPr>
              <w:pStyle w:val="null3"/>
              <w:jc w:val="both"/>
            </w:pPr>
            <w:r>
              <w:rPr>
                <w:rFonts w:ascii="仿宋_GB2312" w:hAnsi="仿宋_GB2312" w:cs="仿宋_GB2312" w:eastAsia="仿宋_GB2312"/>
                <w:sz w:val="24"/>
              </w:rPr>
              <w:t>②</w:t>
            </w:r>
            <w:r>
              <w:rPr>
                <w:rFonts w:ascii="仿宋_GB2312" w:hAnsi="仿宋_GB2312" w:cs="仿宋_GB2312" w:eastAsia="仿宋_GB2312"/>
                <w:sz w:val="21"/>
              </w:rPr>
              <w:t xml:space="preserve"> </w:t>
            </w:r>
            <w:r>
              <w:rPr>
                <w:rFonts w:ascii="仿宋_GB2312" w:hAnsi="仿宋_GB2312" w:cs="仿宋_GB2312" w:eastAsia="仿宋_GB2312"/>
                <w:sz w:val="24"/>
              </w:rPr>
              <w:t>未按合同要求提供服务或服务质量不能满足采购人要求，采购人有权终止合同，同时报请政府采购管理部门对其违约行为进行追究。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车辆验收合格并交付之后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双方另行协商约定。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各方应本着诚信的态度及共同合作的精神，通过协商及谈判来努力解决由本合同而产生的或与本合同有关（包括本合同项下某一特定货物买卖合同）的任何争议及不同意见。协商、谈判不能解决的，应向项目所在地人民法院申请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法定代表人（单位负责人）身份证明及授权委托书.docx 产品技术参数表 投标函 残疾人福利性单位声明函 标的清单 其他资料.docx 投标文件封面 实施方案.docx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法定代表人（单位负责人）身份证明及授权委托书.docx 产品技术参数表 投标函 残疾人福利性单位声明函 标的清单 其他资料.docx 投标文件封面 实施方案.docx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法定代表人（单位负责人）身份证明及授权委托书.docx 产品技术参数表 投标函 残疾人福利性单位声明函 标的清单 其他资料.docx 投标文件封面 实施方案.docx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提供独立法人或其他组织的相应证明文件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法定代表人（单位负责人）身份证明及授权委托书.docx 产品技术参数表 投标函 残疾人福利性单位声明函 标的清单 其他资料.docx 投标文件封面 实施方案.docx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提供2024或2025任一年度经审计的财务审计报告(成立时间至提交响应文件截止时间不足一年的可提供成立后的资产负债表和利润表），或提供近一年内基本存款账户开户银行开具的资信证明；</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法定代表人（单位负责人）身份证明及授权委托书.docx 产品技术参数表 投标函 残疾人福利性单位声明函 标的清单 其他资料.docx 投标文件封面 实施方案.docx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提供2025年02月01日至今任意两个月的纳税证明或完税证明,纳税证明或完税证明上应有代收机构或税务机关的公章，依法免税的单位应提供相关证明材料；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法定代表人（单位负责人）身份证明及授权委托书.docx 产品技术参数表 投标函 残疾人福利性单位声明函 标的清单 其他资料.docx 投标文件封面 实施方案.docx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提供2025年02月01日至今任意两个月依法缴纳社会保障资金的证明材料（依法不需要缴纳社会保障资金的单位应提供相关证明材料）；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法定代表人（单位负责人）身份证明及授权委托书.docx 产品技术参数表 投标函 残疾人福利性单位声明函 标的清单 其他资料.docx 投标文件封面 实施方案.docx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法定代表人（单位负责人）身份证明及授权委托书.docx 产品技术参数表 投标函 残疾人福利性单位声明函 标的清单 其他资料.docx 投标文件封面 实施方案.docx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具备履行合同的能力承诺</w:t>
            </w:r>
          </w:p>
        </w:tc>
        <w:tc>
          <w:tcPr>
            <w:tcW w:type="dxa" w:w="3322"/>
          </w:tcPr>
          <w:p>
            <w:pPr>
              <w:pStyle w:val="null3"/>
            </w:pPr>
            <w:r>
              <w:rPr>
                <w:rFonts w:ascii="仿宋_GB2312" w:hAnsi="仿宋_GB2312" w:cs="仿宋_GB2312" w:eastAsia="仿宋_GB2312"/>
              </w:rPr>
              <w:t>具备履行合同所必需的设备和专业技术能力（提供承诺函）；</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法定代表人（单位负责人）身份证明及授权委托书.docx 产品技术参数表 投标函 残疾人福利性单位声明函 标的清单 其他资料.docx 投标文件封面 实施方案.docx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法定代表人（单位负责人）身份证明及授权委托书.docx 产品技术参数表 投标函 残疾人福利性单位声明函 标的清单 其他资料.docx 投标文件封面 实施方案.docx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单位负责人为同一人或者存在直接控股、管理关系的不同供应商不得同时参加本项目投标；</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法定代表人（单位负责人）身份证明及授权委托书.docx 产品技术参数表 投标函 残疾人福利性单位声明函 标的清单 其他资料.docx 投标文件封面 实施方案.docx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法定代表人授权委托书或法定代表人身份证明</w:t>
            </w:r>
          </w:p>
        </w:tc>
        <w:tc>
          <w:tcPr>
            <w:tcW w:type="dxa" w:w="3322"/>
          </w:tcPr>
          <w:p>
            <w:pPr>
              <w:pStyle w:val="null3"/>
            </w:pPr>
            <w:r>
              <w:rPr>
                <w:rFonts w:ascii="仿宋_GB2312" w:hAnsi="仿宋_GB2312" w:cs="仿宋_GB2312" w:eastAsia="仿宋_GB2312"/>
              </w:rPr>
              <w:t>法定代表人授权委托书（附法定代表人及被授权人身份证复印件）（如法定代表人参加投标只需提交法定代表人身份证明并附身份证复印件）；</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法定代表人（单位负责人）身份证明及授权委托书.docx 产品技术参数表 投标函 残疾人福利性单位声明函 标的清单 其他资料.docx 投标文件封面 实施方案.docx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法定代表人（单位负责人）身份证明及授权委托书.docx 产品技术参数表 投标函 残疾人福利性单位声明函 标的清单 其他资料.docx 投标文件封面 实施方案.docx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 财政部 司法部关于政府采购支持监狱企业发展有关问题的通知--财库〔2014〕68号； （3）《国务院办公厅关于建立政府强制采购节能产品制度的通知》--国办发〔2007〕51号； （4）《节能产品政府采购实施意见》--（财库[2004]185号）； （5）《环境标志产品政府采购实施的意见》--财库[2006]90号； （6）《财政部民政部中国残疾人联合会关于促进残疾人就业政府采购政策的通知》--财库[2017]141号； （7）《关于调整优化节能产品、环境标志产品政府采购执行机制的通知》（财库〔2019〕9号）； （8）《陕西省财政厅关于加快推进我省中小企业政府采购信用融资工作的通知》（陕财办采〔2020〕15号）； （9）《关于进一步加大政府采购支持中小企业力度的通知》（财库〔2022〕19号）； （10）其他需要落实的政府采购政策。</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法定代表人（单位负责人）身份证明及授权委托书.docx 产品技术参数表 投标函 残疾人福利性单位声明函 标的清单 其他资料.docx 投标文件封面 实施方案.docx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法定代表人（单位负责人）身份证明及授权委托书.docx 产品技术参数表 投标函 残疾人福利性单位声明函 其他资料.docx 标的清单 投标文件封面 实施方案.docx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投标文件上法定代表人或被授权人的签字或电子印章齐全</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法定代表人（单位负责人）身份证明及授权委托书.docx 产品技术参数表 投标函 残疾人福利性单位声明函 标的清单 其他资料.docx 投标文件封面 实施方案.docx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法定代表人（单位负责人）身份证明及授权委托书.docx 产品技术参数表 投标函 残疾人福利性单位声明函 标的清单 其他资料.docx 实施方案.docx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法定代表人（单位负责人）身份证明及授权委托书.docx 产品技术参数表 投标函 残疾人福利性单位声明函 标的清单 其他资料.docx 实施方案.docx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法定代表人（单位负责人）身份证明及授权委托书.docx 产品技术参数表 投标函 残疾人福利性单位声明函 标的清单 其他资料.docx 实施方案.docx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有效投标报价</w:t>
            </w:r>
          </w:p>
        </w:tc>
        <w:tc>
          <w:tcPr>
            <w:tcW w:type="dxa" w:w="3322"/>
          </w:tcPr>
          <w:p>
            <w:pPr>
              <w:pStyle w:val="null3"/>
            </w:pPr>
            <w:r>
              <w:rPr>
                <w:rFonts w:ascii="仿宋_GB2312" w:hAnsi="仿宋_GB2312" w:cs="仿宋_GB2312" w:eastAsia="仿宋_GB2312"/>
              </w:rPr>
              <w:t>投标文件中报价不得超过采购预算金额或最高限价</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法定代表人（单位负责人）身份证明及授权委托书.docx 产品技术参数表 投标函 残疾人福利性单位声明函 标的清单 其他资料.docx 投标文件封面 实施方案.docx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技术参数要求</w:t>
            </w:r>
          </w:p>
        </w:tc>
        <w:tc>
          <w:tcPr>
            <w:tcW w:type="dxa" w:w="2492"/>
          </w:tcPr>
          <w:p>
            <w:pPr>
              <w:pStyle w:val="null3"/>
            </w:pPr>
            <w:r>
              <w:rPr>
                <w:rFonts w:ascii="仿宋_GB2312" w:hAnsi="仿宋_GB2312" w:cs="仿宋_GB2312" w:eastAsia="仿宋_GB2312"/>
              </w:rPr>
              <w:t>技术参数要求完全满足招标要求得12分： ★号指标每负偏离一项扣1分，非★号指标每负偏离一项扣0.5分，扣完为止。 注：（1）★号指标需提供相关证明材料（包括但不限于产品说明书，或使用手册，或官网功能截图，或工信部公告截图，或相关检测报告等），否则视为负偏离；非★号指标以技术偏离表数据为准，若交付验收时发现弄虚作假，招标人有权拒绝验收。 （2）同一指标提供多种佐证材料，出现不一致或互相矛盾时，视为负偏离。</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法定代表人（单位负责人）身份证明及授权委托书.docx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车辆定制方案</w:t>
            </w:r>
          </w:p>
        </w:tc>
        <w:tc>
          <w:tcPr>
            <w:tcW w:type="dxa" w:w="2492"/>
          </w:tcPr>
          <w:p>
            <w:pPr>
              <w:pStyle w:val="null3"/>
            </w:pPr>
            <w:r>
              <w:rPr>
                <w:rFonts w:ascii="仿宋_GB2312" w:hAnsi="仿宋_GB2312" w:cs="仿宋_GB2312" w:eastAsia="仿宋_GB2312"/>
              </w:rPr>
              <w:t>1、车辆定制方案（根据招标内容及采购需求编制详细的车辆定制服务方案）； 2、其他内容（提供有利于本项目顺利推进的相关承诺或建议说明）。 评审标准：各项内容全面，条理清晰，阐述合理，能有效保障本项目的进展实施。其中第1项满分为12分，第2项满分为4分，每缺1项当项不得分，每有一处内容存在缺陷或瑕疵，扣0.5分，扣完为止。 备注：缺陷是指内容不合理、虽有内容但不完善、内容表述前后不一致、套用其他项目方案或与项目需求不匹配及其他不利于项目实施等任意一种情形。 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法定代表人（单位负责人）身份证明及授权委托书.docx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1、供货、运输安排、安装调试、验收方案等说明； 2、供货进度计划和保证措施； 3、实施安全控制方案； 4、质量保障措施； 5、人员配置分工； 6、投入使用前培训方案（培训计划、培训内容等）。 评审标准：各项内容全面，条理清晰，阐述合理，能有效保障本项目的开展实施。每项满分为4分，每缺1项当项不得分，每有一处内容存在缺陷或瑕疵，扣0.5分，扣完为止。 备注：缺陷是指内容不合理、虽有内容但不完善、内容表述前后不一致、套用其他项目方案或与项目需求不匹配及其他不利于项目实施等任意一种情形。 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法定代表人（单位负责人）身份证明及授权委托书.docx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所投产品①供货渠道正常，②货物来源质量有保证，③检验手续完善、合法有效，④无产权纠纷（可提供承诺），满分2分，每缺1项扣0.5分，扣完为止。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法定代表人（单位负责人）身份证明及授权委托书.docx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1、售后服务计划、售后服务方案及应急处理措施； 2、故障响应时间、处理方式、服务人员保障及服务承诺。 评审标准：各项内容全面，条理清晰，阐述合理，能有效保障本项目供货实施。每项满分为4分，每缺1项当项不得分，每有一处内容存在缺陷或瑕疵，扣0.5分，扣完为止。 备注：缺陷是指内容不合理、虽有内容但不完善、内容表述前后不一致、套用其他项目方案或与项目需求不匹配及其他不利于项目实施等任意一种情形。 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法定代表人（单位负责人）身份证明及授权委托书.docx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供应商提供2023年1月至今的类似业绩，每提供一份合同复印件或中标通知书或中标（成交）结果公告网页截图并加盖公章得2分，满分8分，提供资料不全或者无法辨认的不得分。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法定代表人（单位负责人）身份证明及授权委托书.docx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注：符合招标文件规定的中小企业、监狱企业、残疾人福利性单位优惠条件的投标人，价格给予10%的扣除，用扣除后的价格参与评审。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法定代表人（单位负责人）身份证明及授权委托书.docx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其他资料.docx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详见附件：法定代表人（单位负责人）身份证明及授权委托书.docx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