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版本号：DZZFCG-2026-0320260320001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铜川市2026年市级农产品质量安全风险监测定量检测技术服务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DZZFCG-2026-03</w:t>
      </w:r>
      <w:r>
        <w:br/>
      </w:r>
      <w:r>
        <w:br/>
      </w:r>
      <w:r>
        <w:br/>
      </w:r>
    </w:p>
    <w:p>
      <w:pPr>
        <w:pStyle w:val="null3"/>
        <w:jc w:val="center"/>
        <w:outlineLvl w:val="2"/>
      </w:pPr>
      <w:r>
        <w:rPr>
          <w:rFonts w:ascii="仿宋_GB2312" w:hAnsi="仿宋_GB2312" w:cs="仿宋_GB2312" w:eastAsia="仿宋_GB2312"/>
          <w:sz w:val="28"/>
          <w:b/>
        </w:rPr>
        <w:t>铜川市农畜产品质量安全检验检测中心</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铜川市农畜产品质量安全检验检测中心</w:t>
      </w:r>
      <w:r>
        <w:rPr>
          <w:rFonts w:ascii="仿宋_GB2312" w:hAnsi="仿宋_GB2312" w:cs="仿宋_GB2312" w:eastAsia="仿宋_GB2312"/>
        </w:rPr>
        <w:t>委托，拟对</w:t>
      </w:r>
      <w:r>
        <w:rPr>
          <w:rFonts w:ascii="仿宋_GB2312" w:hAnsi="仿宋_GB2312" w:cs="仿宋_GB2312" w:eastAsia="仿宋_GB2312"/>
        </w:rPr>
        <w:t>铜川市2026年市级农产品质量安全风险监测定量检测技术服务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DZZFCG-2026-03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铜川市2026年市级农产品质量安全风险监测定量检测技术服务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铜川市2026年市级农产品质量安全风险监测定量检测技术服务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采购包1（铜川市2026年市级农产品质量安全风险监测定量检测技术服务）：属于专门面向中小企业采购。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3、依法缴纳税收和社会保障资金相关材料（磋商截止日前六个月内任意一个月）：依法缴纳税收和社会保障资金相关材料（磋商截止日前六个月内任意一个月）。</w:t>
      </w:r>
    </w:p>
    <w:p>
      <w:pPr>
        <w:pStyle w:val="null3"/>
      </w:pPr>
      <w:r>
        <w:rPr>
          <w:rFonts w:ascii="仿宋_GB2312" w:hAnsi="仿宋_GB2312" w:cs="仿宋_GB2312" w:eastAsia="仿宋_GB2312"/>
        </w:rPr>
        <w:t>4、供应商需提供2024或2025年度财务审计报告或提供文件递交截止日前三个月内从基本户银行开具的资信证明：供应商需提供2024或2025年度财务审计报告或提供文件递交截止日前三个月内从基本户银行开具的资信证明。</w:t>
      </w:r>
    </w:p>
    <w:p>
      <w:pPr>
        <w:pStyle w:val="null3"/>
      </w:pPr>
      <w:r>
        <w:rPr>
          <w:rFonts w:ascii="仿宋_GB2312" w:hAnsi="仿宋_GB2312" w:cs="仿宋_GB2312" w:eastAsia="仿宋_GB2312"/>
        </w:rPr>
        <w:t>5、法定代表人直接参加磋商的，须出具法人身份证；授权代表参加磋商的，须出具授权书及授权代表身份证：法定代表人直接参加磋商的，须出具法人身份证；授权代表参加磋商的，须出具授权书及授权代表身份证。</w:t>
      </w:r>
    </w:p>
    <w:p>
      <w:pPr>
        <w:pStyle w:val="null3"/>
      </w:pPr>
      <w:r>
        <w:rPr>
          <w:rFonts w:ascii="仿宋_GB2312" w:hAnsi="仿宋_GB2312" w:cs="仿宋_GB2312" w:eastAsia="仿宋_GB2312"/>
        </w:rPr>
        <w:t>6、供应商出具本企业参加政府采购活动前三年内经营活动中没有重大违法记录的书面声明：供应商出具本企业参加政府采购活动前三年内经营活动中没有重大违法记录的书面声明。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7、具备合法有效的CMA检验检测机构资质认定证书、CATL农产品质量安全检测机构考核合格证书；且检验项目应当全覆盖本次所列参数项目需求：具备合法有效的CMA检验检测机构资质认定证书、CATL农产品质量安全检测机构考核合格证书；且检验项目应当全覆盖本次所列参数项目需求。</w:t>
      </w:r>
    </w:p>
    <w:p>
      <w:pPr>
        <w:pStyle w:val="null3"/>
      </w:pPr>
      <w:r>
        <w:rPr>
          <w:rFonts w:ascii="仿宋_GB2312" w:hAnsi="仿宋_GB2312" w:cs="仿宋_GB2312" w:eastAsia="仿宋_GB2312"/>
        </w:rPr>
        <w:t>8、承担机构须在农业农村部或省农业农村厅2025年组织的检测技术能力验证中考核合格（附2025年能力验证结果报告单）。：承担机构须在农业农村部或省农业农村厅2025年组织的检测技术能力验证中考核合格（附2025年能力验证结果报告单）。</w:t>
      </w:r>
    </w:p>
    <w:p>
      <w:pPr>
        <w:pStyle w:val="null3"/>
      </w:pPr>
      <w:r>
        <w:rPr>
          <w:rFonts w:ascii="仿宋_GB2312" w:hAnsi="仿宋_GB2312" w:cs="仿宋_GB2312" w:eastAsia="仿宋_GB2312"/>
        </w:rPr>
        <w:t>9、供应商不得为“信用中国”中列入失信被执行人和重大税收违法案件当事人名单的供应商，不得为“中国政府采购网”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铜川市农畜产品质量安全检验检测中心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铜川新区齐庆路2号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0919-3157285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陕西省西安市雁塔区高新区科技路金桥国际广场12009号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18991595778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铜川市农畜产品质量安全检验检测中心</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铜川市农畜产品质量安全检验检测中心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铜川市农畜产品质量安全检验检测中心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满足采购人需求，达到合格标准。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联系人：杨工</w:t>
      </w:r>
    </w:p>
    <w:p>
      <w:pPr>
        <w:pStyle w:val="null3"/>
      </w:pPr>
      <w:r>
        <w:rPr>
          <w:rFonts w:ascii="仿宋_GB2312" w:hAnsi="仿宋_GB2312" w:cs="仿宋_GB2312" w:eastAsia="仿宋_GB2312"/>
        </w:rPr>
        <w:t>联系电话：18991595778</w:t>
      </w:r>
    </w:p>
    <w:p>
      <w:pPr>
        <w:pStyle w:val="null3"/>
      </w:pPr>
      <w:r>
        <w:rPr>
          <w:rFonts w:ascii="仿宋_GB2312" w:hAnsi="仿宋_GB2312" w:cs="仿宋_GB2312" w:eastAsia="仿宋_GB2312"/>
        </w:rPr>
        <w:t>地址：陕西省西安市雁塔区高新区科技路金桥国际广场12009号</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铜川市2026年市级农产品质量安全风险监测定量检测技术服务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350000</w:t>
            </w:r>
          </w:p>
        </w:tc>
        <w:tc>
          <w:tcPr>
            <w:tcW w:type="dxa" w:w="831"/>
          </w:tcPr>
          <w:p>
            <w:pPr>
              <w:pStyle w:val="null3"/>
              <w:jc w:val="right"/>
            </w:pPr>
            <w:r>
              <w:rPr>
                <w:rFonts w:ascii="仿宋_GB2312" w:hAnsi="仿宋_GB2312" w:cs="仿宋_GB2312" w:eastAsia="仿宋_GB2312"/>
              </w:rPr>
              <w:t>420.00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标的名称：350000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一、采购内容</w:t>
            </w:r>
          </w:p>
          <w:p>
            <w:pPr>
              <w:pStyle w:val="null3"/>
              <w:ind w:firstLine="480"/>
              <w:jc w:val="both"/>
            </w:pPr>
            <w:r>
              <w:rPr>
                <w:rFonts w:ascii="仿宋_GB2312" w:hAnsi="仿宋_GB2312" w:cs="仿宋_GB2312" w:eastAsia="仿宋_GB2312"/>
                <w:sz w:val="21"/>
              </w:rPr>
              <w:t>按照农产品质量安全定量监测2批次/千人要求，全年计划开展风险监测种植业产品、畜禽产品和水产品共计420个样(批)（种植业产品330个样、畜禽产品85个样、水产品5个样）抽样、定量检测技术和实验室管理能力提升服务指导等。</w:t>
            </w:r>
          </w:p>
          <w:p>
            <w:pPr>
              <w:pStyle w:val="null3"/>
              <w:jc w:val="both"/>
            </w:pPr>
            <w:r>
              <w:rPr>
                <w:rFonts w:ascii="仿宋_GB2312" w:hAnsi="仿宋_GB2312" w:cs="仿宋_GB2312" w:eastAsia="仿宋_GB2312"/>
                <w:sz w:val="21"/>
              </w:rPr>
              <w:t>二、监测抽样范围</w:t>
            </w:r>
          </w:p>
          <w:p>
            <w:pPr>
              <w:pStyle w:val="null3"/>
              <w:ind w:firstLine="720"/>
              <w:jc w:val="both"/>
            </w:pPr>
            <w:r>
              <w:rPr>
                <w:rFonts w:ascii="仿宋_GB2312" w:hAnsi="仿宋_GB2312" w:cs="仿宋_GB2312" w:eastAsia="仿宋_GB2312"/>
                <w:sz w:val="21"/>
              </w:rPr>
              <w:t>全市农产品生产基地范围内抽检，全年按照产品上市时间随抽随检。</w:t>
            </w:r>
          </w:p>
          <w:p>
            <w:pPr>
              <w:pStyle w:val="null3"/>
              <w:jc w:val="both"/>
            </w:pPr>
            <w:r>
              <w:rPr>
                <w:rFonts w:ascii="仿宋_GB2312" w:hAnsi="仿宋_GB2312" w:cs="仿宋_GB2312" w:eastAsia="仿宋_GB2312"/>
                <w:sz w:val="21"/>
              </w:rPr>
              <w:t>三、监测内容</w:t>
            </w:r>
          </w:p>
          <w:p>
            <w:pPr>
              <w:pStyle w:val="null3"/>
              <w:ind w:firstLine="240"/>
              <w:jc w:val="both"/>
            </w:pPr>
            <w:r>
              <w:rPr>
                <w:rFonts w:ascii="仿宋_GB2312" w:hAnsi="仿宋_GB2312" w:cs="仿宋_GB2312" w:eastAsia="仿宋_GB2312"/>
                <w:sz w:val="21"/>
              </w:rPr>
              <w:t>（一）监测抽样品种</w:t>
            </w:r>
          </w:p>
          <w:p>
            <w:pPr>
              <w:pStyle w:val="null3"/>
              <w:ind w:firstLine="480"/>
              <w:jc w:val="left"/>
            </w:pPr>
            <w:r>
              <w:rPr>
                <w:rFonts w:ascii="仿宋_GB2312" w:hAnsi="仿宋_GB2312" w:cs="仿宋_GB2312" w:eastAsia="仿宋_GB2312"/>
                <w:sz w:val="21"/>
              </w:rPr>
              <w:t>1、蔬菜。韭菜、芹菜、菠菜、芫荽、茼蒿、普通白菜、大白菜、番茄、蕹菜、叶用莴苣、花椰菜、甘蓝、青花菜、菜薹、黄瓜、苦瓜、丝瓜、西葫芦、辣椒、茄子、豇豆、菜豆、食荚豌豆、蚕豆、扁豆、大葱、细香葱、洋葱、大蒜、莲藕、茭白、萝卜、胡萝卜、马铃薯、甘薯、生姜、黄花菜、芦笋、香椿、南瓜、冬瓜、蒜苗、芋、芥菜、茎用莴苣等品种。</w:t>
            </w:r>
          </w:p>
          <w:p>
            <w:pPr>
              <w:pStyle w:val="null3"/>
              <w:ind w:firstLine="480"/>
              <w:jc w:val="left"/>
            </w:pPr>
            <w:r>
              <w:rPr>
                <w:rFonts w:ascii="仿宋_GB2312" w:hAnsi="仿宋_GB2312" w:cs="仿宋_GB2312" w:eastAsia="仿宋_GB2312"/>
                <w:sz w:val="21"/>
              </w:rPr>
              <w:t>2.水果。重点监测苹果、草莓、樱桃、梨、桃、葡萄、西瓜、甜瓜、冬枣、柿子、李、杏等我市特色或小宗品种。</w:t>
            </w:r>
          </w:p>
          <w:p>
            <w:pPr>
              <w:pStyle w:val="null3"/>
              <w:ind w:firstLine="480"/>
              <w:jc w:val="left"/>
            </w:pPr>
            <w:r>
              <w:rPr>
                <w:rFonts w:ascii="仿宋_GB2312" w:hAnsi="仿宋_GB2312" w:cs="仿宋_GB2312" w:eastAsia="仿宋_GB2312"/>
                <w:sz w:val="21"/>
              </w:rPr>
              <w:t>3.食用菌。重点监测香菇、平菇、双孢蘑菇、金针菇、秀珍菇、黑木耳(含毛木耳)、银耳、茶树菇、杏鲍菇、草菇等品种，均为鲜品。</w:t>
            </w:r>
          </w:p>
          <w:p>
            <w:pPr>
              <w:pStyle w:val="null3"/>
              <w:ind w:firstLine="480"/>
              <w:jc w:val="left"/>
            </w:pPr>
            <w:r>
              <w:rPr>
                <w:rFonts w:ascii="仿宋_GB2312" w:hAnsi="仿宋_GB2312" w:cs="仿宋_GB2312" w:eastAsia="仿宋_GB2312"/>
                <w:sz w:val="21"/>
              </w:rPr>
              <w:t>4.畜禽产品。重点监测猪肉、猪肝、牛肉、羊肉、禽肉(鸡肉、鸭肉、乌骨鸡肉)和禽蛋(鸡蛋、鸭蛋)。</w:t>
            </w:r>
          </w:p>
          <w:p>
            <w:pPr>
              <w:pStyle w:val="null3"/>
              <w:ind w:firstLine="480"/>
              <w:jc w:val="left"/>
            </w:pPr>
            <w:r>
              <w:rPr>
                <w:rFonts w:ascii="仿宋_GB2312" w:hAnsi="仿宋_GB2312" w:cs="仿宋_GB2312" w:eastAsia="仿宋_GB2312"/>
                <w:sz w:val="21"/>
              </w:rPr>
              <w:t>5.水产品。重点监测草鱼、鲤鱼、鲫鱼、鲢鱼、鳙鱼、</w:t>
            </w:r>
            <w:r>
              <w:rPr>
                <w:rFonts w:ascii="仿宋_GB2312" w:hAnsi="仿宋_GB2312" w:cs="仿宋_GB2312" w:eastAsia="仿宋_GB2312"/>
                <w:sz w:val="21"/>
              </w:rPr>
              <w:t>罗非鱼、鳟鱼、鲟鱼、虾、蟹、鳊鱼、大口黑鲈、乌鳢、牛蛙、黄鳝、大鲵等水产品。</w:t>
            </w:r>
          </w:p>
          <w:p>
            <w:pPr>
              <w:pStyle w:val="null3"/>
              <w:ind w:firstLine="240"/>
              <w:jc w:val="both"/>
            </w:pPr>
            <w:r>
              <w:rPr>
                <w:rFonts w:ascii="仿宋_GB2312" w:hAnsi="仿宋_GB2312" w:cs="仿宋_GB2312" w:eastAsia="仿宋_GB2312"/>
                <w:sz w:val="21"/>
              </w:rPr>
              <w:t>（二）监测要求</w:t>
            </w:r>
          </w:p>
          <w:p>
            <w:pPr>
              <w:pStyle w:val="null3"/>
              <w:ind w:firstLine="480"/>
              <w:jc w:val="both"/>
            </w:pPr>
            <w:r>
              <w:rPr>
                <w:rFonts w:ascii="仿宋_GB2312" w:hAnsi="仿宋_GB2312" w:cs="仿宋_GB2312" w:eastAsia="仿宋_GB2312"/>
                <w:sz w:val="21"/>
              </w:rPr>
              <w:t>抽样随机选取生产经营主体，准确填写抽样单据，抽样地点应具有代表性，尽量抽取能反映当地农产品生产、销售和管理水平的农产品。抽取样品应有明确产地渠道，做到样品可追溯。</w:t>
            </w:r>
          </w:p>
          <w:p>
            <w:pPr>
              <w:pStyle w:val="null3"/>
              <w:ind w:firstLine="480"/>
              <w:jc w:val="both"/>
            </w:pPr>
            <w:r>
              <w:rPr>
                <w:rFonts w:ascii="仿宋_GB2312" w:hAnsi="仿宋_GB2312" w:cs="仿宋_GB2312" w:eastAsia="仿宋_GB2312"/>
                <w:sz w:val="21"/>
              </w:rPr>
              <w:t>(三)监测选点。主要包括农产品生产基地(种植养殖基地、散户、农民专业合作社、家庭农场等)、养殖场、屠宰厂(场)、运输车、水产品暂养池、产地储存场所、农产品批发市场、农贸市场等。</w:t>
            </w:r>
          </w:p>
          <w:p>
            <w:pPr>
              <w:pStyle w:val="null3"/>
              <w:jc w:val="both"/>
            </w:pPr>
            <w:r>
              <w:rPr>
                <w:rFonts w:ascii="仿宋_GB2312" w:hAnsi="仿宋_GB2312" w:cs="仿宋_GB2312" w:eastAsia="仿宋_GB2312"/>
                <w:sz w:val="21"/>
              </w:rPr>
              <w:t>四、监测方法</w:t>
            </w:r>
          </w:p>
          <w:p>
            <w:pPr>
              <w:pStyle w:val="null3"/>
              <w:ind w:firstLine="480"/>
              <w:jc w:val="left"/>
            </w:pPr>
            <w:r>
              <w:rPr>
                <w:rFonts w:ascii="仿宋_GB2312" w:hAnsi="仿宋_GB2312" w:cs="仿宋_GB2312" w:eastAsia="仿宋_GB2312"/>
                <w:sz w:val="21"/>
              </w:rPr>
              <w:t>(一)抽样方法。蔬菜、食用菌和水果按《农药残留分析样本的采样方法》(NY/T789-2004)规定执行。畜禽产品按《动物及动物产品兽药残留监控抽样规范》(NY/T1897-2010)规定执行。水产品按《水产品抽样规范》(GB/T 30891-2014)规定执行。</w:t>
            </w:r>
          </w:p>
          <w:p>
            <w:pPr>
              <w:pStyle w:val="null3"/>
              <w:ind w:firstLine="480"/>
              <w:jc w:val="left"/>
            </w:pPr>
            <w:r>
              <w:rPr>
                <w:rFonts w:ascii="仿宋_GB2312" w:hAnsi="仿宋_GB2312" w:cs="仿宋_GB2312" w:eastAsia="仿宋_GB2312"/>
                <w:sz w:val="21"/>
              </w:rPr>
              <w:t>（二)判定原则。种植业产品中的农药残留按《食品安全国家标准食品中农药最大残留限量》(GB 2763-2026)及例行监测要求的判定值进行判定，有一项指标不合格的，即判定为不合格。畜禽产品和水产品中的禁用药物检出即判定为不合格，停止使用和批准使用的药物残留按《食品安全国家标准食品中兽药最大残留限量》(GB31650-2019)和《食品安全国家标准食品中41种兽药最大残留限量》(GB31650.1-2022)进行判定。</w:t>
            </w:r>
          </w:p>
          <w:p>
            <w:pPr>
              <w:pStyle w:val="null3"/>
              <w:jc w:val="both"/>
            </w:pPr>
            <w:r>
              <w:rPr>
                <w:rFonts w:ascii="仿宋_GB2312" w:hAnsi="仿宋_GB2312" w:cs="仿宋_GB2312" w:eastAsia="仿宋_GB2312"/>
                <w:sz w:val="21"/>
              </w:rPr>
              <w:t>五、资金来源与使用</w:t>
            </w:r>
          </w:p>
          <w:p>
            <w:pPr>
              <w:pStyle w:val="null3"/>
              <w:ind w:firstLine="480"/>
              <w:jc w:val="both"/>
            </w:pPr>
            <w:r>
              <w:rPr>
                <w:rFonts w:ascii="仿宋_GB2312" w:hAnsi="仿宋_GB2312" w:cs="仿宋_GB2312" w:eastAsia="仿宋_GB2312"/>
                <w:sz w:val="21"/>
              </w:rPr>
              <w:t>财政资金，采购预算： 350000.00元。</w:t>
            </w:r>
          </w:p>
          <w:p>
            <w:pPr>
              <w:pStyle w:val="null3"/>
              <w:ind w:firstLine="480"/>
              <w:jc w:val="both"/>
            </w:pPr>
            <w:r>
              <w:rPr>
                <w:rFonts w:ascii="仿宋_GB2312" w:hAnsi="仿宋_GB2312" w:cs="仿宋_GB2312" w:eastAsia="仿宋_GB2312"/>
                <w:sz w:val="21"/>
              </w:rPr>
              <w:t>资金使用按照2026年市级农产品质量安全监测政府采购结果进行结算，付款方式为2026年10月底前一次性不计息通过银行转账的方式付清全部款项。</w:t>
            </w:r>
          </w:p>
          <w:p>
            <w:pPr>
              <w:pStyle w:val="null3"/>
              <w:jc w:val="both"/>
            </w:pPr>
            <w:r>
              <w:rPr>
                <w:rFonts w:ascii="仿宋_GB2312" w:hAnsi="仿宋_GB2312" w:cs="仿宋_GB2312" w:eastAsia="仿宋_GB2312"/>
                <w:sz w:val="21"/>
              </w:rPr>
              <w:t>六、检测参数</w:t>
            </w:r>
          </w:p>
          <w:p>
            <w:pPr>
              <w:pStyle w:val="null3"/>
              <w:jc w:val="center"/>
            </w:pPr>
            <w:r>
              <w:rPr>
                <w:rFonts w:ascii="仿宋_GB2312" w:hAnsi="仿宋_GB2312" w:cs="仿宋_GB2312" w:eastAsia="仿宋_GB2312"/>
                <w:sz w:val="21"/>
              </w:rPr>
              <w:t>蔬菜、食用菌、水果应检参数</w:t>
            </w:r>
          </w:p>
          <w:tbl>
            <w:tblPr>
              <w:tblBorders>
                <w:top w:val="none" w:color="000000" w:sz="4"/>
                <w:left w:val="none" w:color="000000" w:sz="4"/>
                <w:bottom w:val="none" w:color="000000" w:sz="4"/>
                <w:right w:val="none" w:color="000000" w:sz="4"/>
                <w:insideH w:val="none"/>
                <w:insideV w:val="none"/>
              </w:tblBorders>
            </w:tblPr>
            <w:tblGrid>
              <w:gridCol w:w="567"/>
              <w:gridCol w:w="1986"/>
            </w:tblGrid>
            <w:tr>
              <w:tc>
                <w:tcPr>
                  <w:tcW w:type="dxa" w:w="5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农药类别</w:t>
                  </w:r>
                </w:p>
              </w:tc>
              <w:tc>
                <w:tcPr>
                  <w:tcW w:type="dxa" w:w="19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监测参数</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禁用农药</w:t>
                  </w:r>
                </w:p>
              </w:tc>
              <w:tc>
                <w:tcPr>
                  <w:tcW w:type="dxa" w:w="1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1"/>
                    </w:rPr>
                    <w:t>甲胺磷、对硫磷、甲基对硫磷、六六六、三氯杀螨醇、甲拌磷、水胺硫磷、甲基异柳磷、灭线磷;氧乐果、克百威(包括3-羟基克百威)、涕灭威(包括涕灭威砜和涕灭威亚砜)、灭多威(2026年6月1日起禁止使用)</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限用农药</w:t>
                  </w:r>
                </w:p>
              </w:tc>
              <w:tc>
                <w:tcPr>
                  <w:tcW w:type="dxa" w:w="1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1"/>
                    </w:rPr>
                    <w:t>氟虫腈(包括氟甲腈、氟虫腈硫醚、氟虫腈砜)、毒死蜱、三唑磷、乐果、乙酰甲胺磷、硫环磷、氯唑磷、内吸磷</w:t>
                  </w:r>
                </w:p>
              </w:tc>
            </w:tr>
            <w:tr>
              <w:tc>
                <w:tcPr>
                  <w:tcW w:type="dxa" w:w="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常规农药</w:t>
                  </w:r>
                </w:p>
              </w:tc>
              <w:tc>
                <w:tcPr>
                  <w:tcW w:type="dxa" w:w="19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1"/>
                    </w:rPr>
                    <w:t>敌敌畏、杀螟硫磷、丙溴磷、马拉硫磷、亚胺硫磷、倍硫磷、辛硫磷、氯氰菊酯、氰戊菊酯、溴氰菊酯、甲氰菊酯、联苯菊酯、氯氟氰菊酯、氟氯氰菊酯、氯吡脲、噻苯隆、除虫脲、灭幼脲、吡虫啉、啶虫脒、哒螨灵、阿维菌素、甲氨基阿维菌素苯甲酸盐、虫螨腈、噻虫嗪、氟啶脲、异菌脲、五氯硝基苯、三唑酮、百菌清、腐霉利、乙烯菌核利、多菌灵、苯醚甲环唑、嘧霉胺、烯酰吗啉、咪鲜胺、嘧菌酯、二甲戊灵、灭蝇胺、甲霜灵、霜霉威、乙基多杀菌素、氯虫苯甲酰胺、氯菊酯(异构体之和)、醚菊酯、虫酰肼、吡唑醚菌酯、戊唑醇、噻虫胺</w:t>
                  </w:r>
                </w:p>
              </w:tc>
            </w:tr>
          </w:tbl>
          <w:p>
            <w:pPr>
              <w:pStyle w:val="null3"/>
              <w:jc w:val="center"/>
            </w:pPr>
            <w:r>
              <w:rPr>
                <w:rFonts w:ascii="仿宋_GB2312" w:hAnsi="仿宋_GB2312" w:cs="仿宋_GB2312" w:eastAsia="仿宋_GB2312"/>
                <w:sz w:val="21"/>
              </w:rPr>
              <w:t>畜禽产品应检参数</w:t>
            </w:r>
          </w:p>
          <w:tbl>
            <w:tblPr>
              <w:tblBorders>
                <w:top w:val="none" w:color="000000" w:sz="4"/>
                <w:left w:val="none" w:color="000000" w:sz="4"/>
                <w:bottom w:val="none" w:color="000000" w:sz="4"/>
                <w:right w:val="none" w:color="000000" w:sz="4"/>
                <w:insideH w:val="none"/>
                <w:insideV w:val="none"/>
              </w:tblBorders>
            </w:tblPr>
            <w:tblGrid>
              <w:gridCol w:w="467"/>
              <w:gridCol w:w="2086"/>
            </w:tblGrid>
            <w:tr>
              <w:tc>
                <w:tcPr>
                  <w:tcW w:type="dxa" w:w="4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药物类别</w:t>
                  </w:r>
                </w:p>
              </w:tc>
              <w:tc>
                <w:tcPr>
                  <w:tcW w:type="dxa" w:w="20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监测参数</w:t>
                  </w:r>
                </w:p>
              </w:tc>
            </w:tr>
            <w:tr>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猪肉、猪肝</w:t>
                  </w:r>
                </w:p>
                <w:p>
                  <w:pPr>
                    <w:pStyle w:val="null3"/>
                    <w:jc w:val="center"/>
                  </w:pPr>
                  <w:r>
                    <w:rPr>
                      <w:rFonts w:ascii="仿宋_GB2312" w:hAnsi="仿宋_GB2312" w:cs="仿宋_GB2312" w:eastAsia="仿宋_GB2312"/>
                      <w:sz w:val="21"/>
                    </w:rPr>
                    <w:t>牛肉、羊肉</w:t>
                  </w: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禁用药物β-受体激动剂类(克伦特罗、莱克多巴胺、沙丁胺醇、特布他林、西马特罗、氯丙那林、妥布特罗 )</w:t>
                  </w:r>
                </w:p>
              </w:tc>
            </w:tr>
            <w:tr>
              <w:tc>
                <w:tcPr>
                  <w:tcW w:type="dxa" w:w="467"/>
                  <w:vMerge/>
                  <w:tcBorders>
                    <w:top w:val="none" w:color="000000" w:sz="4"/>
                    <w:left w:val="single" w:color="000000" w:sz="4"/>
                    <w:bottom w:val="single" w:color="000000" w:sz="4"/>
                    <w:right w:val="single" w:color="000000" w:sz="4"/>
                  </w:tcBorders>
                </w:tcP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常规药物磺胺类(磺胺间甲氧嘧啶、磺胺二甲嘧啶、磺胺甲噁唑、磺胺(间)二甲氧嘧啶、磺胺喹噁啉 )</w:t>
                  </w:r>
                </w:p>
              </w:tc>
            </w:tr>
            <w:tr>
              <w:tc>
                <w:tcPr>
                  <w:tcW w:type="dxa" w:w="467"/>
                  <w:vMerge/>
                  <w:tcBorders>
                    <w:top w:val="none" w:color="000000" w:sz="4"/>
                    <w:left w:val="single" w:color="000000" w:sz="4"/>
                    <w:bottom w:val="single" w:color="000000" w:sz="4"/>
                    <w:right w:val="single" w:color="000000" w:sz="4"/>
                  </w:tcBorders>
                </w:tcP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常规药物四环素类(金霉素、土霉素、四环素、多西环素)</w:t>
                  </w:r>
                </w:p>
              </w:tc>
            </w:tr>
            <w:tr>
              <w:tc>
                <w:tcPr>
                  <w:tcW w:type="dxa" w:w="467"/>
                  <w:vMerge/>
                  <w:tcBorders>
                    <w:top w:val="none" w:color="000000" w:sz="4"/>
                    <w:left w:val="single" w:color="000000" w:sz="4"/>
                    <w:bottom w:val="single" w:color="000000" w:sz="4"/>
                    <w:right w:val="single" w:color="000000" w:sz="4"/>
                  </w:tcBorders>
                </w:tcP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常规药物糖皮质激素类(地塞米松、倍他米松)</w:t>
                  </w:r>
                </w:p>
              </w:tc>
            </w:tr>
            <w:tr>
              <w:tc>
                <w:tcPr>
                  <w:tcW w:type="dxa" w:w="467"/>
                  <w:vMerge/>
                  <w:tcBorders>
                    <w:top w:val="none" w:color="000000" w:sz="4"/>
                    <w:left w:val="single" w:color="000000" w:sz="4"/>
                    <w:bottom w:val="single" w:color="000000" w:sz="4"/>
                    <w:right w:val="single" w:color="000000" w:sz="4"/>
                  </w:tcBorders>
                </w:tcP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常规药物氟喹诺酮类(恩诺沙星、环丙沙星)</w:t>
                  </w:r>
                </w:p>
              </w:tc>
            </w:tr>
            <w:tr>
              <w:tc>
                <w:tcPr>
                  <w:tcW w:type="dxa" w:w="4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禽肉、禽蛋</w:t>
                  </w: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食品动物中停止使用药物氟喹诺酮类(氧氟沙星、培氟沙星、诺氟沙星、洛美沙星)</w:t>
                  </w:r>
                </w:p>
              </w:tc>
            </w:tr>
            <w:tr>
              <w:tc>
                <w:tcPr>
                  <w:tcW w:type="dxa" w:w="467"/>
                  <w:vMerge/>
                  <w:tcBorders>
                    <w:top w:val="none" w:color="000000" w:sz="4"/>
                    <w:left w:val="single" w:color="000000" w:sz="4"/>
                    <w:bottom w:val="single" w:color="000000" w:sz="4"/>
                    <w:right w:val="single" w:color="000000" w:sz="4"/>
                  </w:tcBorders>
                </w:tcP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常规药物氟喹诺酮类(恩诺沙星、环丙沙星、沙拉沙星、达氟沙星)</w:t>
                  </w:r>
                </w:p>
              </w:tc>
            </w:tr>
            <w:tr>
              <w:tc>
                <w:tcPr>
                  <w:tcW w:type="dxa" w:w="467"/>
                  <w:vMerge/>
                  <w:tcBorders>
                    <w:top w:val="none" w:color="000000" w:sz="4"/>
                    <w:left w:val="single" w:color="000000" w:sz="4"/>
                    <w:bottom w:val="single" w:color="000000" w:sz="4"/>
                    <w:right w:val="single" w:color="000000" w:sz="4"/>
                  </w:tcBorders>
                </w:tcP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常规药物抗菌增效剂(甲氧苄啶)</w:t>
                  </w:r>
                </w:p>
              </w:tc>
            </w:tr>
            <w:tr>
              <w:tc>
                <w:tcPr>
                  <w:tcW w:type="dxa" w:w="467"/>
                  <w:vMerge/>
                  <w:tcBorders>
                    <w:top w:val="none" w:color="000000" w:sz="4"/>
                    <w:left w:val="single" w:color="000000" w:sz="4"/>
                    <w:bottom w:val="single" w:color="000000" w:sz="4"/>
                    <w:right w:val="single" w:color="000000" w:sz="4"/>
                  </w:tcBorders>
                </w:tcP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产蛋期不得使用药物氟喹诺酮类(恩诺沙星、环丙沙星、沙拉沙星、达氟沙星)</w:t>
                  </w:r>
                </w:p>
              </w:tc>
            </w:tr>
            <w:tr>
              <w:tc>
                <w:tcPr>
                  <w:tcW w:type="dxa" w:w="467"/>
                  <w:vMerge/>
                  <w:tcBorders>
                    <w:top w:val="none" w:color="000000" w:sz="4"/>
                    <w:left w:val="single" w:color="000000" w:sz="4"/>
                    <w:bottom w:val="single" w:color="000000" w:sz="4"/>
                    <w:right w:val="single" w:color="000000" w:sz="4"/>
                  </w:tcBorders>
                </w:tcP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食品动物中停止使用药物金刚烷胺</w:t>
                  </w:r>
                </w:p>
              </w:tc>
            </w:tr>
            <w:tr>
              <w:tc>
                <w:tcPr>
                  <w:tcW w:type="dxa" w:w="467"/>
                  <w:vMerge/>
                  <w:tcBorders>
                    <w:top w:val="none" w:color="000000" w:sz="4"/>
                    <w:left w:val="single" w:color="000000" w:sz="4"/>
                    <w:bottom w:val="single" w:color="000000" w:sz="4"/>
                    <w:right w:val="single" w:color="000000" w:sz="4"/>
                  </w:tcBorders>
                </w:tcP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禁用药物酰胺醇类(氯霉素)</w:t>
                  </w:r>
                </w:p>
              </w:tc>
            </w:tr>
            <w:tr>
              <w:tc>
                <w:tcPr>
                  <w:tcW w:type="dxa" w:w="467"/>
                  <w:vMerge/>
                  <w:tcBorders>
                    <w:top w:val="none" w:color="000000" w:sz="4"/>
                    <w:left w:val="single" w:color="000000" w:sz="4"/>
                    <w:bottom w:val="single" w:color="000000" w:sz="4"/>
                    <w:right w:val="single" w:color="000000" w:sz="4"/>
                  </w:tcBorders>
                </w:tcP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常规药物酰胺醇类(氟苯尼考、氟苯尼考胺和甲砜霉素)</w:t>
                  </w:r>
                </w:p>
              </w:tc>
            </w:tr>
            <w:tr>
              <w:tc>
                <w:tcPr>
                  <w:tcW w:type="dxa" w:w="467"/>
                  <w:vMerge/>
                  <w:tcBorders>
                    <w:top w:val="none" w:color="000000" w:sz="4"/>
                    <w:left w:val="single" w:color="000000" w:sz="4"/>
                    <w:bottom w:val="single" w:color="000000" w:sz="4"/>
                    <w:right w:val="single" w:color="000000" w:sz="4"/>
                  </w:tcBorders>
                </w:tcP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产蛋期不得使用药物酰胺醇类(氟苯尼考、氟苯尼考胺、甲砜霉素)</w:t>
                  </w:r>
                </w:p>
              </w:tc>
            </w:tr>
            <w:tr>
              <w:tc>
                <w:tcPr>
                  <w:tcW w:type="dxa" w:w="467"/>
                  <w:vMerge/>
                  <w:tcBorders>
                    <w:top w:val="none" w:color="000000" w:sz="4"/>
                    <w:left w:val="single" w:color="000000" w:sz="4"/>
                    <w:bottom w:val="single" w:color="000000" w:sz="4"/>
                    <w:right w:val="single" w:color="000000" w:sz="4"/>
                  </w:tcBorders>
                </w:tcPr>
                <w:p/>
              </w:tc>
              <w:tc>
                <w:tcPr>
                  <w:tcW w:type="dxa" w:w="20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产蛋期不得使用药物四环素类(多西环素)</w:t>
                  </w:r>
                </w:p>
              </w:tc>
            </w:tr>
          </w:tbl>
          <w:p>
            <w:pPr>
              <w:pStyle w:val="null3"/>
              <w:jc w:val="center"/>
            </w:pPr>
            <w:r>
              <w:rPr>
                <w:rFonts w:ascii="仿宋_GB2312" w:hAnsi="仿宋_GB2312" w:cs="仿宋_GB2312" w:eastAsia="仿宋_GB2312"/>
                <w:sz w:val="21"/>
              </w:rPr>
              <w:t>水产品应检参数</w:t>
            </w:r>
          </w:p>
          <w:tbl>
            <w:tblPr>
              <w:tblBorders>
                <w:top w:val="none" w:color="000000" w:sz="4"/>
                <w:left w:val="none" w:color="000000" w:sz="4"/>
                <w:bottom w:val="none" w:color="000000" w:sz="4"/>
                <w:right w:val="none" w:color="000000" w:sz="4"/>
                <w:insideH w:val="none"/>
                <w:insideV w:val="none"/>
              </w:tblBorders>
            </w:tblPr>
            <w:tblGrid>
              <w:gridCol w:w="549"/>
              <w:gridCol w:w="2004"/>
            </w:tblGrid>
            <w:tr>
              <w:tc>
                <w:tcPr>
                  <w:tcW w:type="dxa" w:w="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药物类别</w:t>
                  </w:r>
                </w:p>
              </w:tc>
              <w:tc>
                <w:tcPr>
                  <w:tcW w:type="dxa" w:w="20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监测参数</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禁用药物</w:t>
                  </w:r>
                </w:p>
              </w:tc>
              <w:tc>
                <w:tcPr>
                  <w:tcW w:type="dxa" w:w="2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氯霉素、孔雀石绿(包括有色孔雀石绿和无色孔雀石绿 )、硝基呋喃类代谢物(包括呋喃唑酮代谢物AOZ、呋喃它酮代谢物AMOZ、呋喃西林代谢物SEM和呋喃妥因代谢物AHD)</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食品动物中停止使用药物</w:t>
                  </w:r>
                </w:p>
              </w:tc>
              <w:tc>
                <w:tcPr>
                  <w:tcW w:type="dxa" w:w="2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氟喹诺酮类(诺氟沙星、氧氟沙星、培氟沙星、洛美沙星)</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常规药物</w:t>
                  </w:r>
                </w:p>
              </w:tc>
              <w:tc>
                <w:tcPr>
                  <w:tcW w:type="dxa" w:w="2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酰胺醇类(甲砜霉素、氟苯尼考和氟苯尼考胺);</w:t>
                  </w:r>
                </w:p>
                <w:p>
                  <w:pPr>
                    <w:pStyle w:val="null3"/>
                    <w:jc w:val="both"/>
                  </w:pPr>
                  <w:r>
                    <w:rPr>
                      <w:rFonts w:ascii="仿宋_GB2312" w:hAnsi="仿宋_GB2312" w:cs="仿宋_GB2312" w:eastAsia="仿宋_GB2312"/>
                      <w:sz w:val="21"/>
                    </w:rPr>
                    <w:t>磺胺类(磺胺嘧啶、磺胺二甲基嘧啶、磺胺甲基异噁唑、磺胺异噁唑、磺胺间二甲氧嘧啶);</w:t>
                  </w:r>
                </w:p>
                <w:p>
                  <w:pPr>
                    <w:pStyle w:val="null3"/>
                    <w:jc w:val="both"/>
                  </w:pPr>
                  <w:r>
                    <w:rPr>
                      <w:rFonts w:ascii="仿宋_GB2312" w:hAnsi="仿宋_GB2312" w:cs="仿宋_GB2312" w:eastAsia="仿宋_GB2312"/>
                      <w:sz w:val="21"/>
                    </w:rPr>
                    <w:t>氟喹诺酮类(恩诺沙星、环丙沙星);四环素类(四环素、土霉素、金霉素、多西环素)</w:t>
                  </w:r>
                </w:p>
              </w:tc>
            </w:tr>
            <w:tr>
              <w:tc>
                <w:tcPr>
                  <w:tcW w:type="dxa" w:w="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常规药物</w:t>
                  </w:r>
                </w:p>
              </w:tc>
              <w:tc>
                <w:tcPr>
                  <w:tcW w:type="dxa" w:w="20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抗菌增效剂(甲氧苄啶)</w:t>
                  </w:r>
                </w:p>
              </w:tc>
            </w:tr>
          </w:tbl>
          <w:p>
            <w:pPr>
              <w:pStyle w:val="null3"/>
              <w:spacing w:before="105"/>
              <w:ind w:left="2355"/>
              <w:jc w:val="both"/>
            </w:pPr>
            <w:r>
              <w:rPr>
                <w:rFonts w:ascii="仿宋_GB2312" w:hAnsi="仿宋_GB2312" w:cs="仿宋_GB2312" w:eastAsia="仿宋_GB2312"/>
                <w:sz w:val="21"/>
              </w:rPr>
              <w:t>种植业产品风险监测完成数量</w:t>
            </w:r>
          </w:p>
          <w:tbl>
            <w:tblPr>
              <w:tblBorders>
                <w:top w:val="none" w:color="000000" w:sz="4"/>
                <w:left w:val="none" w:color="000000" w:sz="4"/>
                <w:bottom w:val="none" w:color="000000" w:sz="4"/>
                <w:right w:val="none" w:color="000000" w:sz="4"/>
                <w:insideH w:val="none"/>
                <w:insideV w:val="none"/>
              </w:tblBorders>
            </w:tblPr>
            <w:tblGrid>
              <w:gridCol w:w="1733"/>
              <w:gridCol w:w="459"/>
              <w:gridCol w:w="356"/>
            </w:tblGrid>
            <w:tr>
              <w:tc>
                <w:tcPr>
                  <w:tcW w:type="dxa" w:w="173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2700"/>
                    <w:jc w:val="both"/>
                  </w:pPr>
                  <w:r>
                    <w:rPr>
                      <w:rFonts w:ascii="仿宋_GB2312" w:hAnsi="仿宋_GB2312" w:cs="仿宋_GB2312" w:eastAsia="仿宋_GB2312"/>
                      <w:sz w:val="21"/>
                    </w:rPr>
                    <w:t>监测参数（71 个）</w:t>
                  </w:r>
                </w:p>
              </w:tc>
              <w:tc>
                <w:tcPr>
                  <w:tcW w:type="dxa" w:w="45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495"/>
                    <w:jc w:val="both"/>
                  </w:pPr>
                  <w:r>
                    <w:rPr>
                      <w:rFonts w:ascii="仿宋_GB2312" w:hAnsi="仿宋_GB2312" w:cs="仿宋_GB2312" w:eastAsia="仿宋_GB2312"/>
                      <w:sz w:val="21"/>
                    </w:rPr>
                    <w:t>检测方法</w:t>
                  </w:r>
                </w:p>
              </w:tc>
              <w:tc>
                <w:tcPr>
                  <w:tcW w:type="dxa" w:w="35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jc w:val="right"/>
                  </w:pPr>
                  <w:r>
                    <w:rPr>
                      <w:rFonts w:ascii="仿宋_GB2312" w:hAnsi="仿宋_GB2312" w:cs="仿宋_GB2312" w:eastAsia="仿宋_GB2312"/>
                      <w:sz w:val="21"/>
                    </w:rPr>
                    <w:t>完成数（个）</w:t>
                  </w:r>
                </w:p>
              </w:tc>
            </w:tr>
            <w:tr>
              <w:tc>
                <w:tcPr>
                  <w:tcW w:type="dxa" w:w="17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
                    <w:ind w:left="120" w:right="105" w:firstLine="567"/>
                    <w:jc w:val="both"/>
                  </w:pPr>
                  <w:r>
                    <w:rPr>
                      <w:rFonts w:ascii="仿宋_GB2312" w:hAnsi="仿宋_GB2312" w:cs="仿宋_GB2312" w:eastAsia="仿宋_GB2312"/>
                      <w:sz w:val="21"/>
                    </w:rPr>
                    <w:t>禁用农药：甲胺磷、对硫磷、甲基对硫磷、六六六、三氯杀螨醇、 甲拌磷、水胺硫磷、甲基异柳磷、灭线磷;氧乐果、克百威(包括 3-羟基克百威)、涕灭威(包括涕灭威砜和涕灭威亚砜)、灭多威(2026 年 6 月 1 日起禁止使用)</w:t>
                  </w:r>
                </w:p>
                <w:p>
                  <w:pPr>
                    <w:pStyle w:val="null3"/>
                    <w:ind w:left="120" w:right="105" w:firstLine="580"/>
                    <w:jc w:val="both"/>
                  </w:pPr>
                  <w:r>
                    <w:rPr>
                      <w:rFonts w:ascii="仿宋_GB2312" w:hAnsi="仿宋_GB2312" w:cs="仿宋_GB2312" w:eastAsia="仿宋_GB2312"/>
                      <w:sz w:val="21"/>
                    </w:rPr>
                    <w:t>限用农药：氟虫腈(包括氟甲腈、氟虫腈硫醚、氟虫腈砜)、毒死蜱、三唑磷、乐果、乙酰甲胺磷、硫环磷、氯唑磷、内吸磷</w:t>
                  </w:r>
                </w:p>
                <w:p>
                  <w:pPr>
                    <w:pStyle w:val="null3"/>
                    <w:spacing w:before="15"/>
                    <w:ind w:left="120" w:right="15" w:firstLine="577"/>
                  </w:pPr>
                  <w:r>
                    <w:rPr>
                      <w:rFonts w:ascii="仿宋_GB2312" w:hAnsi="仿宋_GB2312" w:cs="仿宋_GB2312" w:eastAsia="仿宋_GB2312"/>
                      <w:sz w:val="21"/>
                    </w:rPr>
                    <w:t>常规农药：敌敌畏、杀螟硫磷、丙溴磷、马拉硫磷、亚胺硫磷、倍硫磷、辛硫磷、氯氰菊酯、氰戊菊酯、溴氰菊酯、甲氰菊酯、联苯菊酯、氯氟氰菊酯、氟氯氰菊酯、氯吡脲、噻苯隆、除虫脲、灭幼脲、吡虫啉、啶虫脒、哒螨灵、阿维菌素、甲氨基阿维菌素苯甲酸盐、虫螨腈、噻虫嗪、氟啶脲、异菌脲、五氯硝基苯、三唑酮、百菌清、腐霉利、乙烯菌核利、多菌灵、苯醚甲环唑、嘧霉胺、烯酰吗啉、咪鲜胺、嘧菌酯、二甲戊灵、灭蝇胺、甲霜灵、霜霉威、乙基多杀菌素、氯虫苯甲酰胺、氯菊酯(异构体之和)、醚菊酯、虫酰肼、吡唑醚菌酯、戊唑醇、噻虫胺</w:t>
                  </w:r>
                </w:p>
              </w:tc>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按 GB/T 20769或 GB 23200.113</w:t>
                  </w:r>
                </w:p>
                <w:p>
                  <w:pPr>
                    <w:pStyle w:val="null3"/>
                    <w:ind w:left="120"/>
                  </w:pPr>
                  <w:r>
                    <w:rPr>
                      <w:rFonts w:ascii="仿宋_GB2312" w:hAnsi="仿宋_GB2312" w:cs="仿宋_GB2312" w:eastAsia="仿宋_GB2312"/>
                      <w:sz w:val="21"/>
                    </w:rPr>
                    <w:t>或 GB23200.121</w:t>
                  </w:r>
                </w:p>
                <w:p>
                  <w:pPr>
                    <w:pStyle w:val="null3"/>
                    <w:spacing w:before="15"/>
                    <w:ind w:left="120"/>
                  </w:pPr>
                  <w:r>
                    <w:rPr>
                      <w:rFonts w:ascii="仿宋_GB2312" w:hAnsi="仿宋_GB2312" w:cs="仿宋_GB2312" w:eastAsia="仿宋_GB2312"/>
                      <w:sz w:val="21"/>
                    </w:rPr>
                    <w:t>或 GB23200.8</w:t>
                  </w:r>
                </w:p>
                <w:p>
                  <w:pPr>
                    <w:pStyle w:val="null3"/>
                    <w:ind w:left="120" w:right="105" w:firstLine="1"/>
                  </w:pPr>
                  <w:r>
                    <w:rPr>
                      <w:rFonts w:ascii="仿宋_GB2312" w:hAnsi="仿宋_GB2312" w:cs="仿宋_GB2312" w:eastAsia="仿宋_GB2312"/>
                      <w:sz w:val="21"/>
                    </w:rPr>
                    <w:t>或 NY/T761 进行检测</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300</w:t>
                  </w:r>
                </w:p>
              </w:tc>
            </w:tr>
            <w:tr>
              <w:tc>
                <w:tcPr>
                  <w:tcW w:type="dxa" w:w="17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2850"/>
                    <w:jc w:val="both"/>
                  </w:pPr>
                  <w:r>
                    <w:rPr>
                      <w:rFonts w:ascii="仿宋_GB2312" w:hAnsi="仿宋_GB2312" w:cs="仿宋_GB2312" w:eastAsia="仿宋_GB2312"/>
                      <w:sz w:val="21"/>
                    </w:rPr>
                    <w:t>监测参数（</w:t>
                  </w:r>
                  <w:r>
                    <w:rPr>
                      <w:rFonts w:ascii="仿宋_GB2312" w:hAnsi="仿宋_GB2312" w:cs="仿宋_GB2312" w:eastAsia="仿宋_GB2312"/>
                      <w:sz w:val="21"/>
                    </w:rPr>
                    <w:t>61</w:t>
                  </w:r>
                  <w:r>
                    <w:rPr>
                      <w:rFonts w:ascii="仿宋_GB2312" w:hAnsi="仿宋_GB2312" w:cs="仿宋_GB2312" w:eastAsia="仿宋_GB2312"/>
                      <w:sz w:val="21"/>
                    </w:rPr>
                    <w:t>）</w:t>
                  </w:r>
                </w:p>
              </w:tc>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95"/>
                    <w:jc w:val="both"/>
                  </w:pPr>
                  <w:r>
                    <w:rPr>
                      <w:rFonts w:ascii="仿宋_GB2312" w:hAnsi="仿宋_GB2312" w:cs="仿宋_GB2312" w:eastAsia="仿宋_GB2312"/>
                      <w:sz w:val="21"/>
                    </w:rPr>
                    <w:t>检测方法</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jc w:val="right"/>
                  </w:pPr>
                  <w:r>
                    <w:rPr>
                      <w:rFonts w:ascii="仿宋_GB2312" w:hAnsi="仿宋_GB2312" w:cs="仿宋_GB2312" w:eastAsia="仿宋_GB2312"/>
                      <w:sz w:val="21"/>
                    </w:rPr>
                    <w:t>完成数（个）</w:t>
                  </w:r>
                </w:p>
              </w:tc>
            </w:tr>
            <w:tr>
              <w:tc>
                <w:tcPr>
                  <w:tcW w:type="dxa" w:w="173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left="120" w:right="105" w:firstLine="567"/>
                    <w:jc w:val="both"/>
                  </w:pPr>
                  <w:r>
                    <w:rPr>
                      <w:rFonts w:ascii="仿宋_GB2312" w:hAnsi="仿宋_GB2312" w:cs="仿宋_GB2312" w:eastAsia="仿宋_GB2312"/>
                      <w:sz w:val="21"/>
                    </w:rPr>
                    <w:t>禁用农药：</w:t>
                  </w:r>
                  <w:r>
                    <w:rPr>
                      <w:rFonts w:ascii="仿宋_GB2312" w:hAnsi="仿宋_GB2312" w:cs="仿宋_GB2312" w:eastAsia="仿宋_GB2312"/>
                      <w:sz w:val="21"/>
                      <w:strike/>
                    </w:rPr>
                    <w:t xml:space="preserve"> </w:t>
                  </w:r>
                  <w:r>
                    <w:rPr>
                      <w:rFonts w:ascii="仿宋_GB2312" w:hAnsi="仿宋_GB2312" w:cs="仿宋_GB2312" w:eastAsia="仿宋_GB2312"/>
                      <w:sz w:val="21"/>
                      <w:color w:val="FF0000"/>
                      <w:strike/>
                    </w:rPr>
                    <w:t>甲胺磷</w:t>
                  </w:r>
                  <w:r>
                    <w:rPr>
                      <w:rFonts w:ascii="仿宋_GB2312" w:hAnsi="仿宋_GB2312" w:cs="仿宋_GB2312" w:eastAsia="仿宋_GB2312"/>
                      <w:sz w:val="21"/>
                      <w:color w:val="FF0000"/>
                    </w:rPr>
                    <w:t>、</w:t>
                  </w:r>
                  <w:r>
                    <w:rPr>
                      <w:rFonts w:ascii="仿宋_GB2312" w:hAnsi="仿宋_GB2312" w:cs="仿宋_GB2312" w:eastAsia="仿宋_GB2312"/>
                      <w:sz w:val="21"/>
                      <w:color w:val="FF0000"/>
                      <w:strike/>
                    </w:rPr>
                    <w:t>对硫磷</w:t>
                  </w:r>
                  <w:r>
                    <w:rPr>
                      <w:rFonts w:ascii="仿宋_GB2312" w:hAnsi="仿宋_GB2312" w:cs="仿宋_GB2312" w:eastAsia="仿宋_GB2312"/>
                      <w:sz w:val="21"/>
                      <w:color w:val="FF0000"/>
                    </w:rPr>
                    <w:t>、</w:t>
                  </w:r>
                  <w:r>
                    <w:rPr>
                      <w:rFonts w:ascii="仿宋_GB2312" w:hAnsi="仿宋_GB2312" w:cs="仿宋_GB2312" w:eastAsia="仿宋_GB2312"/>
                      <w:sz w:val="21"/>
                    </w:rPr>
                    <w:t>甲基对硫磷、六六六、三氯杀螨醇、 甲拌磷、</w:t>
                  </w:r>
                  <w:r>
                    <w:rPr>
                      <w:rFonts w:ascii="仿宋_GB2312" w:hAnsi="仿宋_GB2312" w:cs="仿宋_GB2312" w:eastAsia="仿宋_GB2312"/>
                      <w:sz w:val="21"/>
                      <w:color w:val="FF0000"/>
                      <w:strike/>
                    </w:rPr>
                    <w:t>水胺硫磷</w:t>
                  </w:r>
                  <w:r>
                    <w:rPr>
                      <w:rFonts w:ascii="仿宋_GB2312" w:hAnsi="仿宋_GB2312" w:cs="仿宋_GB2312" w:eastAsia="仿宋_GB2312"/>
                      <w:sz w:val="21"/>
                    </w:rPr>
                    <w:t>、 甲基异柳磷、灭线磷;</w:t>
                  </w:r>
                  <w:r>
                    <w:rPr>
                      <w:rFonts w:ascii="仿宋_GB2312" w:hAnsi="仿宋_GB2312" w:cs="仿宋_GB2312" w:eastAsia="仿宋_GB2312"/>
                      <w:sz w:val="21"/>
                      <w:color w:val="FF0000"/>
                      <w:strike/>
                    </w:rPr>
                    <w:t>氧乐</w:t>
                  </w:r>
                  <w:r>
                    <w:rPr>
                      <w:rFonts w:ascii="仿宋_GB2312" w:hAnsi="仿宋_GB2312" w:cs="仿宋_GB2312" w:eastAsia="仿宋_GB2312"/>
                      <w:sz w:val="21"/>
                      <w:color w:val="FF0000"/>
                      <w:strike/>
                    </w:rPr>
                    <w:t>果</w:t>
                  </w:r>
                  <w:r>
                    <w:rPr>
                      <w:rFonts w:ascii="仿宋_GB2312" w:hAnsi="仿宋_GB2312" w:cs="仿宋_GB2312" w:eastAsia="仿宋_GB2312"/>
                      <w:sz w:val="21"/>
                      <w:color w:val="FF0000"/>
                    </w:rPr>
                    <w:t>、</w:t>
                  </w:r>
                  <w:r>
                    <w:rPr>
                      <w:rFonts w:ascii="仿宋_GB2312" w:hAnsi="仿宋_GB2312" w:cs="仿宋_GB2312" w:eastAsia="仿宋_GB2312"/>
                      <w:sz w:val="21"/>
                    </w:rPr>
                    <w:t>克百威(包括 3-羟基克百威)、涕灭威(包括涕灭威砜和涕灭威亚砜)、灭多威(2026 年 6 月 1 日起禁止使用)</w:t>
                  </w:r>
                </w:p>
                <w:p>
                  <w:pPr>
                    <w:pStyle w:val="null3"/>
                    <w:ind w:left="120" w:right="105" w:firstLine="580"/>
                    <w:jc w:val="both"/>
                  </w:pPr>
                  <w:r>
                    <w:rPr>
                      <w:rFonts w:ascii="仿宋_GB2312" w:hAnsi="仿宋_GB2312" w:cs="仿宋_GB2312" w:eastAsia="仿宋_GB2312"/>
                      <w:sz w:val="21"/>
                    </w:rPr>
                    <w:t>限用农药：氟虫腈(包括氟甲腈、氟虫腈硫醚、氟虫腈砜)、毒死蜱、三唑磷、乐果、乙酰甲胺磷、硫环磷、氯唑磷、内吸磷</w:t>
                  </w:r>
                </w:p>
                <w:p>
                  <w:pPr>
                    <w:pStyle w:val="null3"/>
                    <w:spacing w:before="15"/>
                    <w:ind w:left="120" w:firstLine="436"/>
                    <w:jc w:val="both"/>
                  </w:pPr>
                  <w:r>
                    <w:rPr>
                      <w:rFonts w:ascii="仿宋_GB2312" w:hAnsi="仿宋_GB2312" w:cs="仿宋_GB2312" w:eastAsia="仿宋_GB2312"/>
                      <w:sz w:val="21"/>
                    </w:rPr>
                    <w:t>常规农药：</w:t>
                  </w:r>
                  <w:r>
                    <w:rPr>
                      <w:rFonts w:ascii="仿宋_GB2312" w:hAnsi="仿宋_GB2312" w:cs="仿宋_GB2312" w:eastAsia="仿宋_GB2312"/>
                      <w:sz w:val="21"/>
                      <w:color w:val="FF0000"/>
                      <w:strike/>
                    </w:rPr>
                    <w:t>敌敌畏</w:t>
                  </w:r>
                  <w:r>
                    <w:rPr>
                      <w:rFonts w:ascii="仿宋_GB2312" w:hAnsi="仿宋_GB2312" w:cs="仿宋_GB2312" w:eastAsia="仿宋_GB2312"/>
                      <w:sz w:val="21"/>
                    </w:rPr>
                    <w:t>、杀螟硫磷、丙溴磷、</w:t>
                  </w:r>
                  <w:r>
                    <w:rPr>
                      <w:rFonts w:ascii="仿宋_GB2312" w:hAnsi="仿宋_GB2312" w:cs="仿宋_GB2312" w:eastAsia="仿宋_GB2312"/>
                      <w:sz w:val="21"/>
                      <w:color w:val="FF0000"/>
                      <w:strike/>
                    </w:rPr>
                    <w:t>马拉硫磷</w:t>
                  </w:r>
                  <w:r>
                    <w:rPr>
                      <w:rFonts w:ascii="仿宋_GB2312" w:hAnsi="仿宋_GB2312" w:cs="仿宋_GB2312" w:eastAsia="仿宋_GB2312"/>
                      <w:sz w:val="21"/>
                    </w:rPr>
                    <w:t>、亚胺硫磷、倍硫磷、辛硫磷、氯氰菊酯、氰戊菊酯、溴氰菊酯、甲氰菊酯、联苯菊酯、氯氟氰菊酯、氟氯氰菊酯、氯吡脲、噻苯隆、除虫脲、灭幼脲、吡虫啉、啶虫脒、哒螨灵、阿维菌素、甲氨基阿维菌素苯甲酸盐、</w:t>
                  </w:r>
                  <w:r>
                    <w:rPr>
                      <w:rFonts w:ascii="仿宋_GB2312" w:hAnsi="仿宋_GB2312" w:cs="仿宋_GB2312" w:eastAsia="仿宋_GB2312"/>
                      <w:sz w:val="21"/>
                      <w:color w:val="FF0000"/>
                      <w:strike/>
                    </w:rPr>
                    <w:t>虫螨腈</w:t>
                  </w:r>
                  <w:r>
                    <w:rPr>
                      <w:rFonts w:ascii="仿宋_GB2312" w:hAnsi="仿宋_GB2312" w:cs="仿宋_GB2312" w:eastAsia="仿宋_GB2312"/>
                      <w:sz w:val="21"/>
                      <w:color w:val="FF0000"/>
                    </w:rPr>
                    <w:t>、</w:t>
                  </w:r>
                  <w:r>
                    <w:rPr>
                      <w:rFonts w:ascii="仿宋_GB2312" w:hAnsi="仿宋_GB2312" w:cs="仿宋_GB2312" w:eastAsia="仿宋_GB2312"/>
                      <w:sz w:val="21"/>
                    </w:rPr>
                    <w:t>噻虫嗪、</w:t>
                  </w:r>
                  <w:r>
                    <w:rPr>
                      <w:rFonts w:ascii="仿宋_GB2312" w:hAnsi="仿宋_GB2312" w:cs="仿宋_GB2312" w:eastAsia="仿宋_GB2312"/>
                      <w:sz w:val="21"/>
                      <w:color w:val="FF0000"/>
                      <w:strike/>
                    </w:rPr>
                    <w:t>氟啶脲</w:t>
                  </w:r>
                  <w:r>
                    <w:rPr>
                      <w:rFonts w:ascii="仿宋_GB2312" w:hAnsi="仿宋_GB2312" w:cs="仿宋_GB2312" w:eastAsia="仿宋_GB2312"/>
                      <w:sz w:val="21"/>
                      <w:color w:val="FF0000"/>
                    </w:rPr>
                    <w:t>、</w:t>
                  </w:r>
                  <w:r>
                    <w:rPr>
                      <w:rFonts w:ascii="仿宋_GB2312" w:hAnsi="仿宋_GB2312" w:cs="仿宋_GB2312" w:eastAsia="仿宋_GB2312"/>
                      <w:sz w:val="21"/>
                    </w:rPr>
                    <w:t>异菌脲、五氯硝基苯、三唑酮、百菌清、腐霉利、乙烯菌核利、多菌灵、苯醚甲环唑、嘧霉胺、烯酰吗啉、咪鲜胺、嘧菌酯、二甲戊灵、灭蝇胺、</w:t>
                  </w:r>
                  <w:r>
                    <w:rPr>
                      <w:rFonts w:ascii="仿宋_GB2312" w:hAnsi="仿宋_GB2312" w:cs="仿宋_GB2312" w:eastAsia="仿宋_GB2312"/>
                      <w:sz w:val="21"/>
                      <w:strike/>
                    </w:rPr>
                    <w:t xml:space="preserve"> </w:t>
                  </w:r>
                  <w:r>
                    <w:rPr>
                      <w:rFonts w:ascii="仿宋_GB2312" w:hAnsi="仿宋_GB2312" w:cs="仿宋_GB2312" w:eastAsia="仿宋_GB2312"/>
                      <w:sz w:val="21"/>
                      <w:color w:val="FF0000"/>
                      <w:strike/>
                    </w:rPr>
                    <w:t>甲霜灵</w:t>
                  </w:r>
                  <w:r>
                    <w:rPr>
                      <w:rFonts w:ascii="仿宋_GB2312" w:hAnsi="仿宋_GB2312" w:cs="仿宋_GB2312" w:eastAsia="仿宋_GB2312"/>
                      <w:sz w:val="21"/>
                    </w:rPr>
                    <w:t>、霜霉威、乙基多杀菌素、氯虫苯甲酰胺、氯菊酯(异构体之和)、</w:t>
                  </w:r>
                  <w:r>
                    <w:rPr>
                      <w:rFonts w:ascii="仿宋_GB2312" w:hAnsi="仿宋_GB2312" w:cs="仿宋_GB2312" w:eastAsia="仿宋_GB2312"/>
                      <w:sz w:val="21"/>
                      <w:color w:val="FF0000"/>
                      <w:strike/>
                    </w:rPr>
                    <w:t>醚菊酯</w:t>
                  </w:r>
                  <w:r>
                    <w:rPr>
                      <w:rFonts w:ascii="仿宋_GB2312" w:hAnsi="仿宋_GB2312" w:cs="仿宋_GB2312" w:eastAsia="仿宋_GB2312"/>
                      <w:sz w:val="21"/>
                    </w:rPr>
                    <w:t>、虫酰肼、吡唑醚菌酯、戊唑醇、噻虫胺</w:t>
                  </w:r>
                </w:p>
              </w:tc>
              <w:tc>
                <w:tcPr>
                  <w:tcW w:type="dxa" w:w="45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按 GB/T 20769或 GB 23200.113</w:t>
                  </w:r>
                </w:p>
                <w:p>
                  <w:pPr>
                    <w:pStyle w:val="null3"/>
                    <w:ind w:left="120"/>
                  </w:pPr>
                  <w:r>
                    <w:rPr>
                      <w:rFonts w:ascii="仿宋_GB2312" w:hAnsi="仿宋_GB2312" w:cs="仿宋_GB2312" w:eastAsia="仿宋_GB2312"/>
                      <w:sz w:val="21"/>
                    </w:rPr>
                    <w:t>或 GB23200.121</w:t>
                  </w:r>
                </w:p>
                <w:p>
                  <w:pPr>
                    <w:pStyle w:val="null3"/>
                    <w:spacing w:before="15"/>
                    <w:ind w:left="120"/>
                  </w:pPr>
                  <w:r>
                    <w:rPr>
                      <w:rFonts w:ascii="仿宋_GB2312" w:hAnsi="仿宋_GB2312" w:cs="仿宋_GB2312" w:eastAsia="仿宋_GB2312"/>
                      <w:sz w:val="21"/>
                    </w:rPr>
                    <w:t>或 GB23200.8</w:t>
                  </w:r>
                </w:p>
                <w:p>
                  <w:pPr>
                    <w:pStyle w:val="null3"/>
                    <w:ind w:left="120" w:right="105" w:firstLine="1"/>
                  </w:pPr>
                  <w:r>
                    <w:rPr>
                      <w:rFonts w:ascii="仿宋_GB2312" w:hAnsi="仿宋_GB2312" w:cs="仿宋_GB2312" w:eastAsia="仿宋_GB2312"/>
                      <w:sz w:val="21"/>
                    </w:rPr>
                    <w:t>或 NY/T761 进行检测</w:t>
                  </w:r>
                </w:p>
              </w:tc>
              <w:tc>
                <w:tcPr>
                  <w:tcW w:type="dxa" w:w="35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both"/>
                  </w:pPr>
                  <w:r>
                    <w:rPr>
                      <w:rFonts w:ascii="仿宋_GB2312" w:hAnsi="仿宋_GB2312" w:cs="仿宋_GB2312" w:eastAsia="仿宋_GB2312"/>
                      <w:sz w:val="21"/>
                    </w:rPr>
                    <w:t>30</w:t>
                  </w:r>
                </w:p>
              </w:tc>
            </w:tr>
          </w:tbl>
          <w:p>
            <w:pPr>
              <w:pStyle w:val="null3"/>
              <w:jc w:val="both"/>
            </w:pPr>
            <w:r>
              <w:rPr>
                <w:rFonts w:ascii="仿宋_GB2312" w:hAnsi="仿宋_GB2312" w:cs="仿宋_GB2312" w:eastAsia="仿宋_GB2312"/>
                <w:sz w:val="21"/>
              </w:rPr>
              <w:t>七、服务要求</w:t>
            </w:r>
          </w:p>
          <w:p>
            <w:pPr>
              <w:pStyle w:val="null3"/>
              <w:ind w:firstLine="480"/>
              <w:jc w:val="both"/>
            </w:pPr>
            <w:r>
              <w:rPr>
                <w:rFonts w:ascii="仿宋_GB2312" w:hAnsi="仿宋_GB2312" w:cs="仿宋_GB2312" w:eastAsia="仿宋_GB2312"/>
                <w:sz w:val="21"/>
              </w:rPr>
              <w:t>（一）结果报告</w:t>
            </w:r>
          </w:p>
          <w:p>
            <w:pPr>
              <w:pStyle w:val="null3"/>
              <w:ind w:firstLine="480"/>
              <w:jc w:val="both"/>
            </w:pPr>
            <w:r>
              <w:rPr>
                <w:rFonts w:ascii="仿宋_GB2312" w:hAnsi="仿宋_GB2312" w:cs="仿宋_GB2312" w:eastAsia="仿宋_GB2312"/>
                <w:sz w:val="21"/>
              </w:rPr>
              <w:t>供应商须在采购人指定的工作范围内对指定的产品按照规定的检测参数和方法，且根据采购人采购需求出具结果报告并具有满足抽样和保持原始记录的条件和场所。</w:t>
            </w:r>
          </w:p>
          <w:p>
            <w:pPr>
              <w:pStyle w:val="null3"/>
              <w:ind w:firstLine="480"/>
              <w:jc w:val="both"/>
            </w:pPr>
            <w:r>
              <w:rPr>
                <w:rFonts w:ascii="仿宋_GB2312" w:hAnsi="仿宋_GB2312" w:cs="仿宋_GB2312" w:eastAsia="仿宋_GB2312"/>
                <w:sz w:val="21"/>
              </w:rPr>
              <w:t>所有结果均出具纸质版报告一份和电子报告一份，其中未检出的注明检出限(定量限),检出的需注明效值。</w:t>
            </w:r>
          </w:p>
          <w:p>
            <w:pPr>
              <w:pStyle w:val="null3"/>
              <w:ind w:firstLine="480"/>
              <w:jc w:val="both"/>
            </w:pPr>
            <w:r>
              <w:rPr>
                <w:rFonts w:ascii="仿宋_GB2312" w:hAnsi="仿宋_GB2312" w:cs="仿宋_GB2312" w:eastAsia="仿宋_GB2312"/>
                <w:sz w:val="21"/>
              </w:rPr>
              <w:t>（二）原始记录</w:t>
            </w:r>
          </w:p>
          <w:p>
            <w:pPr>
              <w:pStyle w:val="null3"/>
              <w:ind w:firstLine="480"/>
              <w:jc w:val="both"/>
            </w:pPr>
            <w:r>
              <w:rPr>
                <w:rFonts w:ascii="仿宋_GB2312" w:hAnsi="仿宋_GB2312" w:cs="仿宋_GB2312" w:eastAsia="仿宋_GB2312"/>
                <w:sz w:val="21"/>
              </w:rPr>
              <w:t>应有确保原始记录合理保存的环境条件和场所，所有相关记录应保存并能随时查验。若有弄虚作假、出具虚假报告的将立即终止合同并追究法律责任。</w:t>
            </w:r>
          </w:p>
          <w:p>
            <w:pPr>
              <w:pStyle w:val="null3"/>
              <w:ind w:firstLine="480"/>
              <w:jc w:val="both"/>
            </w:pPr>
            <w:r>
              <w:rPr>
                <w:rFonts w:ascii="仿宋_GB2312" w:hAnsi="仿宋_GB2312" w:cs="仿宋_GB2312" w:eastAsia="仿宋_GB2312"/>
                <w:sz w:val="21"/>
              </w:rPr>
              <w:t>（三）服务期限。自合同签订之日起至2027年3月31日。</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具有项目专业人员配置。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双方签订合同时具体约定。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自合同签订之日起至2027年3月31日。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本项目由采购单位相关部门对项目进行验收。②验收标准：按响应文件及澄清函、项目检查情况等综合指标进行验收；各项指标均应符合验收标准及要求。③验收依据（包括，合同文本；采购文件及澄清函、响应文件；国家和行业制定的相应的标准和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满足采购人要求，达到合格标准（支付方式双方合同签订时具体约定）</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同执行中发生争议的，当事人双方应协商解决。协商达不成一致时，可向同级行政仲裁机关申请仲裁。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依法缴纳税收和社会保障资金相关材料（磋商截止日前六个月内任意一个月）</w:t>
            </w:r>
          </w:p>
        </w:tc>
        <w:tc>
          <w:tcPr>
            <w:tcW w:type="dxa" w:w="3322"/>
          </w:tcPr>
          <w:p>
            <w:pPr>
              <w:pStyle w:val="null3"/>
            </w:pPr>
            <w:r>
              <w:rPr>
                <w:rFonts w:ascii="仿宋_GB2312" w:hAnsi="仿宋_GB2312" w:cs="仿宋_GB2312" w:eastAsia="仿宋_GB2312"/>
              </w:rPr>
              <w:t>依法缴纳税收和社会保障资金相关材料（磋商截止日前六个月内任意一个月）。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法定代表人直接参加磋商的，须出具法人身份证；授权代表参加磋商的，须出具授权书及授权代表身份证</w:t>
            </w:r>
          </w:p>
        </w:tc>
        <w:tc>
          <w:tcPr>
            <w:tcW w:type="dxa" w:w="3322"/>
          </w:tcPr>
          <w:p>
            <w:pPr>
              <w:pStyle w:val="null3"/>
            </w:pPr>
            <w:r>
              <w:rPr>
                <w:rFonts w:ascii="仿宋_GB2312" w:hAnsi="仿宋_GB2312" w:cs="仿宋_GB2312" w:eastAsia="仿宋_GB2312"/>
              </w:rPr>
              <w:t>法定代表人直接参加磋商的，须出具法人身份证；授权代表参加磋商的，须出具授权书及授权代表身份证。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具备合法有效的CMA检验检测机构资质认定证书、CATL农产品质量安全检测机构考核合格证书；且检验项目应当全覆盖本次所列参数项目需求</w:t>
            </w:r>
          </w:p>
        </w:tc>
        <w:tc>
          <w:tcPr>
            <w:tcW w:type="dxa" w:w="3322"/>
          </w:tcPr>
          <w:p>
            <w:pPr>
              <w:pStyle w:val="null3"/>
            </w:pPr>
            <w:r>
              <w:rPr>
                <w:rFonts w:ascii="仿宋_GB2312" w:hAnsi="仿宋_GB2312" w:cs="仿宋_GB2312" w:eastAsia="仿宋_GB2312"/>
              </w:rPr>
              <w:t>具备合法有效的CMA检验检测机构资质认定证书、CATL农产品质量安全检测机构考核合格证书；且检验项目应当全覆盖本次所列参数项目需求。</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承担机构须在农业农村部或省农业农村厅2025年组织的检测技术能力验证中考核合格（附2025年能力验证结果报告单）。</w:t>
            </w:r>
          </w:p>
        </w:tc>
        <w:tc>
          <w:tcPr>
            <w:tcW w:type="dxa" w:w="3322"/>
          </w:tcPr>
          <w:p>
            <w:pPr>
              <w:pStyle w:val="null3"/>
            </w:pPr>
            <w:r>
              <w:rPr>
                <w:rFonts w:ascii="仿宋_GB2312" w:hAnsi="仿宋_GB2312" w:cs="仿宋_GB2312" w:eastAsia="仿宋_GB2312"/>
              </w:rPr>
              <w:t>承担机构须在农业农村部或省农业农村厅2025年组织的检测技术能力验证中考核合格（附2025年能力验证结果报告单）。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符合“磋商响应文件格式”要求。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服务内容结合自身情况制定切实可行的实施服务方案，包括：响应时间、工作方法、预防性管理方法等。①服务方案满足项目要求，方案内容丰富全面、科学合理、规范的计12分；②服务方案基本满足项目要求，方案内容较全面、较科学、较规范的计8分；③服务方案不满足项目要求，方案内容不完善、不规范的计4分；④未提供服务方案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服务质量和进度的保证措施</w:t>
            </w:r>
          </w:p>
        </w:tc>
        <w:tc>
          <w:tcPr>
            <w:tcW w:type="dxa" w:w="2492"/>
          </w:tcPr>
          <w:p>
            <w:pPr>
              <w:pStyle w:val="null3"/>
            </w:pPr>
            <w:r>
              <w:rPr>
                <w:rFonts w:ascii="仿宋_GB2312" w:hAnsi="仿宋_GB2312" w:cs="仿宋_GB2312" w:eastAsia="仿宋_GB2312"/>
              </w:rPr>
              <w:t>提供本项目进度和后期服务措施承诺，能够考虑并满足委托人服务的多种需求。①满足项目要求，方案内容丰富全面、科学合理、规范的计12分；②基本满足项目要求，方案内容比较全面、较科学合理、较规范的计8分；③不满足项目要求，方案内容不完善、不规范的计4分；④未提供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检测方案</w:t>
            </w:r>
          </w:p>
        </w:tc>
        <w:tc>
          <w:tcPr>
            <w:tcW w:type="dxa" w:w="2492"/>
          </w:tcPr>
          <w:p>
            <w:pPr>
              <w:pStyle w:val="null3"/>
            </w:pPr>
            <w:r>
              <w:rPr>
                <w:rFonts w:ascii="仿宋_GB2312" w:hAnsi="仿宋_GB2312" w:cs="仿宋_GB2312" w:eastAsia="仿宋_GB2312"/>
              </w:rPr>
              <w:t>项目检测方案包括：抽检样品保存、运输方案、样品检测、报告送达时间等方面。①项目检测方案满足监督抽检检验项目要求，内容详尽完善、切实可行的计12分；②项目检测方案基本满足监督抽检检验项目要求，内容比较详尽完善、比较切实可行的计8分；③项目检测方案内容比较粗略、不切实际的计4分；④未提供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具有完善的农产品安全检测制度、检验档案管理制度、责任追究制度等管理制度。①制度类别详细，内容全面、完善的计12分；②制度类别较详细，内容较全面完善的计8分；③制度类别粗略，内容不全面、不完善的计4分；④未提供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能够提供应急服务，有类似业务抽检经验。若管辖区出现应急类事件时，可立即派遣相关人员、车辆在2小时内到达指定地点，配合采购方进行采样、调查，并提出相关技术建议。①应急服务内容全面、完善、响应及时的计12分，②应急服务内容较全面、较完善、响应及时的计8分；③应急服务内容粗略、不完善、响应不及时的计4分；④未提供的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本项目服务需求，制定业务培训服务方案。①服务方案全面，有详细的培训计划、培训师资力量、培训内容，承诺提供免费为市级实验室检测能力提升培训服务计10分；②有较详细的培训计划、培训师资力量、培训内容，承诺提供免费为市级实验室检测能力提升培训服务得，可行性一般计7分；③服务方案粗略，内容不完整计4分；④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拟投入的团队人员配置</w:t>
            </w:r>
          </w:p>
        </w:tc>
        <w:tc>
          <w:tcPr>
            <w:tcW w:type="dxa" w:w="2492"/>
          </w:tcPr>
          <w:p>
            <w:pPr>
              <w:pStyle w:val="null3"/>
            </w:pPr>
            <w:r>
              <w:rPr>
                <w:rFonts w:ascii="仿宋_GB2312" w:hAnsi="仿宋_GB2312" w:cs="仿宋_GB2312" w:eastAsia="仿宋_GB2312"/>
              </w:rPr>
              <w:t>拟投入的团队人员配置(项目管理、技术、服务人员)专业合理，人员配备齐全、岗位职责明确。①团队人员配置合理、齐全、清晰计10分；②人员配备较齐全、岗位职责明确计7分；③团队人员配置模糊、人员不齐全、不清晰计4分；④未提供的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重点问题解决方案</w:t>
            </w:r>
          </w:p>
        </w:tc>
        <w:tc>
          <w:tcPr>
            <w:tcW w:type="dxa" w:w="2492"/>
          </w:tcPr>
          <w:p>
            <w:pPr>
              <w:pStyle w:val="null3"/>
            </w:pPr>
            <w:r>
              <w:rPr>
                <w:rFonts w:ascii="仿宋_GB2312" w:hAnsi="仿宋_GB2312" w:cs="仿宋_GB2312" w:eastAsia="仿宋_GB2312"/>
              </w:rPr>
              <w:t>根据现有重点难点问题， 提出可操作性的对策建议；评审标准：方案各部分内容全面详细、阐述条理清晰详尽、符合本项目采购需求得3分；评审内容缺项3分，扣完为止；评审内容有一项内容缺陷扣1分（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证明材料</w:t>
            </w:r>
          </w:p>
        </w:tc>
        <w:tc>
          <w:tcPr>
            <w:tcW w:type="dxa" w:w="2492"/>
          </w:tcPr>
          <w:p>
            <w:pPr>
              <w:pStyle w:val="null3"/>
            </w:pPr>
            <w:r>
              <w:rPr>
                <w:rFonts w:ascii="仿宋_GB2312" w:hAnsi="仿宋_GB2312" w:cs="仿宋_GB2312" w:eastAsia="仿宋_GB2312"/>
              </w:rPr>
              <w:t>提供农产品质量安全检测机构考核标准(方法)变更证明得5分，未提供不得分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 供应商提供2023年至今（以合同签订日期为准）类似项目业绩，以合同复印件为准，每一份计0.5分，最多计2分。评审标准：业绩证明材料（以响应文件中提供的合同复印件为准）。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采用低价优先法计算，即满足磋商文件要求且投标价格最低的投标报价为评标基准价，按照下列公式计算： 投标报价得分=（评标基准价/投标报价）×价格权值×100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 府 采 购 合 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