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版本号：政采-铜川市-2026-0005220260310001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人民代表大会制度及实践教学展馆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政采-铜川市-2026-00052</w:t>
      </w:r>
      <w:r>
        <w:br/>
      </w:r>
      <w:r>
        <w:br/>
      </w:r>
      <w:r>
        <w:br/>
      </w:r>
    </w:p>
    <w:p>
      <w:pPr>
        <w:pStyle w:val="null3"/>
        <w:jc w:val="center"/>
        <w:outlineLvl w:val="2"/>
      </w:pPr>
      <w:r>
        <w:rPr>
          <w:rFonts w:ascii="仿宋_GB2312" w:hAnsi="仿宋_GB2312" w:cs="仿宋_GB2312" w:eastAsia="仿宋_GB2312"/>
          <w:sz w:val="28"/>
          <w:b/>
        </w:rPr>
        <w:t>中共铜川市委党校</w:t>
      </w:r>
    </w:p>
    <w:p>
      <w:pPr>
        <w:pStyle w:val="null3"/>
        <w:jc w:val="center"/>
        <w:outlineLvl w:val="2"/>
      </w:pPr>
      <w:r>
        <w:rPr>
          <w:rFonts w:ascii="仿宋_GB2312" w:hAnsi="仿宋_GB2312" w:cs="仿宋_GB2312" w:eastAsia="仿宋_GB2312"/>
          <w:sz w:val="28"/>
          <w:b/>
        </w:rPr>
        <w:t>陕西通安项目管理有限公司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陕西通安项目管理有限公司</w:t>
      </w:r>
      <w:r>
        <w:rPr>
          <w:rFonts w:ascii="仿宋_GB2312" w:hAnsi="仿宋_GB2312" w:cs="仿宋_GB2312" w:eastAsia="仿宋_GB2312"/>
        </w:rPr>
        <w:t>（以下简称“代理机构”）受</w:t>
      </w:r>
      <w:r>
        <w:rPr>
          <w:rFonts w:ascii="仿宋_GB2312" w:hAnsi="仿宋_GB2312" w:cs="仿宋_GB2312" w:eastAsia="仿宋_GB2312"/>
        </w:rPr>
        <w:t>中共铜川市委党校</w:t>
      </w:r>
      <w:r>
        <w:rPr>
          <w:rFonts w:ascii="仿宋_GB2312" w:hAnsi="仿宋_GB2312" w:cs="仿宋_GB2312" w:eastAsia="仿宋_GB2312"/>
        </w:rPr>
        <w:t>委托，拟对</w:t>
      </w:r>
      <w:r>
        <w:rPr>
          <w:rFonts w:ascii="仿宋_GB2312" w:hAnsi="仿宋_GB2312" w:cs="仿宋_GB2312" w:eastAsia="仿宋_GB2312"/>
        </w:rPr>
        <w:t>人民代表大会制度及实践教学展馆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政采-铜川市-2026-00052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人民代表大会制度及实践教学展馆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主要改造内容为中共铜川市委党校人民代表大会制度及实践教学展馆整体装饰装修、展板设计、电气设备安装等。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采购包1（人民代表大会制度及实践教学展馆）：属于专门面向小微企业采购。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 ：供应商具有独立承担民事责任能力的法人、其他组织或自然人，并出具合法有效的营业执照或事业单位法人证书等国家规定的相关证明，自然人参与的提供其身份证明；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2、拟派项目负责人资质和专业要求 ：证书等级：具备建设行政主管部门颁发的建筑装修装饰工程专业承包二级及以上资质；且具备有效的安全生产许可证； 专业：（1）拟派项目经理具备建筑工程专业或装饰装修工程专业二级及以上注册建造师证书，并具备有效的安全生产考核合格证（B证），且在本单位注册，以及无不良信用记录和无在建工程的承诺书。（2）供应商基本信息及项目经理的基本信息在“陕西省住房和城乡建设厅（http://js.shaanxi.gov.cn/）陕西省建筑市场监管与诚信信息发布平台”可查询。</w:t>
      </w:r>
    </w:p>
    <w:p>
      <w:pPr>
        <w:pStyle w:val="null3"/>
      </w:pPr>
      <w:r>
        <w:rPr>
          <w:rFonts w:ascii="仿宋_GB2312" w:hAnsi="仿宋_GB2312" w:cs="仿宋_GB2312" w:eastAsia="仿宋_GB2312"/>
        </w:rPr>
        <w:t>3、财务状况报告：提供具有财务审计资质单位出具的近三年任意一年度的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4、税收交纳证明：提供响应文件递交截止时间前一年内任意一个月的缴费证明（依法免税的供应商应提供相关文件证明）；</w:t>
      </w:r>
    </w:p>
    <w:p>
      <w:pPr>
        <w:pStyle w:val="null3"/>
      </w:pPr>
      <w:r>
        <w:rPr>
          <w:rFonts w:ascii="仿宋_GB2312" w:hAnsi="仿宋_GB2312" w:cs="仿宋_GB2312" w:eastAsia="仿宋_GB2312"/>
        </w:rPr>
        <w:t>5、社会保障资金交纳证明：提供响应文件递交截止时间前一年内任意一个月的社保缴费证明或社保机构开具的社会保险参保缴费情况证明（依法不需要缴纳社会保障资金的供应商应提供相关证明）；</w:t>
      </w:r>
    </w:p>
    <w:p>
      <w:pPr>
        <w:pStyle w:val="null3"/>
      </w:pPr>
      <w:r>
        <w:rPr>
          <w:rFonts w:ascii="仿宋_GB2312" w:hAnsi="仿宋_GB2312" w:cs="仿宋_GB2312" w:eastAsia="仿宋_GB2312"/>
        </w:rPr>
        <w:t>6、承诺、说明及书面声明：1、提供具有履行本合同所必需的设备和专业技术能力的说明及承诺； 2、提供参加政府采购活动前三年内在经营活动中没有重大违法记录的书面声明；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 ：法定代表人参与磋商时需提供法定代表人身份证复印件；被授权人参与磋商时需提供法定代表人授权委托书；</w:t>
      </w:r>
    </w:p>
    <w:p>
      <w:pPr>
        <w:pStyle w:val="null3"/>
      </w:pPr>
      <w:r>
        <w:rPr>
          <w:rFonts w:ascii="仿宋_GB2312" w:hAnsi="仿宋_GB2312" w:cs="仿宋_GB2312" w:eastAsia="仿宋_GB2312"/>
        </w:rPr>
        <w:t>8、信用查询 ：供应商不得为“信用中国(www.creditchina.gov.cn)”中列入失信被执行人名单的供应商，不得为“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中共铜川市委党校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铜川市耀州区长虹北路中段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中共铜川市委党校经办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15009190232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陕西通安项目管理有限公司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陕西省铜川市耀州区大唐五路以南与樱园路以西交汇处产发大厦五楼503室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13991589128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采购包1：1,191,859.00元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代理服务费收费标准：参照《国家计委关于印发&lt;招标代理服务收费管理暂行办法&gt;的通知》（计价格[2002]1980号）和《关于招标代理服务收费有关问题的通知》（发改办价格『2003』857号）规定按标准收取。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中共铜川市委党校</w:t>
      </w:r>
      <w:r>
        <w:rPr>
          <w:rFonts w:ascii="仿宋_GB2312" w:hAnsi="仿宋_GB2312" w:cs="仿宋_GB2312" w:eastAsia="仿宋_GB2312"/>
        </w:rPr>
        <w:t>和</w:t>
      </w:r>
      <w:r>
        <w:rPr>
          <w:rFonts w:ascii="仿宋_GB2312" w:hAnsi="仿宋_GB2312" w:cs="仿宋_GB2312" w:eastAsia="仿宋_GB2312"/>
        </w:rPr>
        <w:t>陕西通安项目管理有限公司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中共铜川市委党校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陕西通安项目管理有限公司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中共铜川市委党校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陕西通安项目管理有限公司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按时按质按量按标准完成。</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联系电话：13991589128</w:t>
      </w:r>
    </w:p>
    <w:p>
      <w:pPr>
        <w:pStyle w:val="null3"/>
      </w:pPr>
      <w:r>
        <w:rPr>
          <w:rFonts w:ascii="仿宋_GB2312" w:hAnsi="仿宋_GB2312" w:cs="仿宋_GB2312" w:eastAsia="仿宋_GB2312"/>
        </w:rPr>
        <w:t>地址：陕西省铜川市耀州区大唐五路以南与樱园路以西交汇处产发大厦五楼503室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1,191,859.00</w:t>
      </w:r>
    </w:p>
    <w:p>
      <w:pPr>
        <w:pStyle w:val="null3"/>
      </w:pPr>
      <w:r>
        <w:rPr>
          <w:rFonts w:ascii="仿宋_GB2312" w:hAnsi="仿宋_GB2312" w:cs="仿宋_GB2312" w:eastAsia="仿宋_GB2312"/>
        </w:rPr>
        <w:t>采购包最高限价（元）: 1,191,859.00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中共铜川市委党校-人民代表大会制度及实践教学展馆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1,191,859.00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标的名称：中共铜川市委党校-人民代表大会制度及实践教学展馆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color w:val="000000"/>
              </w:rPr>
              <w:t>一、项目概况</w:t>
            </w:r>
          </w:p>
          <w:p>
            <w:pPr>
              <w:pStyle w:val="null3"/>
              <w:ind w:firstLine="560"/>
              <w:jc w:val="left"/>
            </w:pPr>
            <w:r>
              <w:rPr>
                <w:rFonts w:ascii="仿宋_GB2312" w:hAnsi="仿宋_GB2312" w:cs="仿宋_GB2312" w:eastAsia="仿宋_GB2312"/>
                <w:sz w:val="28"/>
                <w:color w:val="000000"/>
              </w:rPr>
              <w:t>本项目为中共铜川市委党校</w:t>
            </w:r>
            <w:r>
              <w:rPr>
                <w:rFonts w:ascii="仿宋_GB2312" w:hAnsi="仿宋_GB2312" w:cs="仿宋_GB2312" w:eastAsia="仿宋_GB2312"/>
                <w:sz w:val="28"/>
                <w:color w:val="000000"/>
              </w:rPr>
              <w:t>-人民代表大会制度及实践教学展馆，主要改造内容为中共铜川市委党校人民代表大会制度及实践教学展馆整体装饰装修、展板设计、电气设备安装等。具体内容详见设计施工图纸及工程量清单。</w:t>
            </w:r>
          </w:p>
          <w:p>
            <w:pPr>
              <w:pStyle w:val="null3"/>
              <w:jc w:val="left"/>
            </w:pPr>
            <w:r>
              <w:rPr>
                <w:rFonts w:ascii="仿宋_GB2312" w:hAnsi="仿宋_GB2312" w:cs="仿宋_GB2312" w:eastAsia="仿宋_GB2312"/>
                <w:sz w:val="28"/>
                <w:color w:val="000000"/>
              </w:rPr>
              <w:t>二、工程内容和施工地点、、计划工期</w:t>
            </w:r>
          </w:p>
          <w:p>
            <w:pPr>
              <w:pStyle w:val="null3"/>
              <w:jc w:val="left"/>
            </w:pPr>
            <w:r>
              <w:rPr>
                <w:rFonts w:ascii="仿宋_GB2312" w:hAnsi="仿宋_GB2312" w:cs="仿宋_GB2312" w:eastAsia="仿宋_GB2312"/>
                <w:sz w:val="28"/>
                <w:color w:val="000000"/>
              </w:rPr>
              <w:t>（一）工程内容：</w:t>
            </w:r>
            <w:r>
              <w:rPr>
                <w:rFonts w:ascii="仿宋_GB2312" w:hAnsi="仿宋_GB2312" w:cs="仿宋_GB2312" w:eastAsia="仿宋_GB2312"/>
                <w:sz w:val="28"/>
                <w:color w:val="000000"/>
              </w:rPr>
              <w:t>人民代表大会制度及实践教学展馆</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8"/>
                <w:color w:val="000000"/>
              </w:rPr>
              <w:t>（二）工程地点：铜川市耀州区长虹北路中共铜川市委党校。</w:t>
            </w:r>
          </w:p>
          <w:p>
            <w:pPr>
              <w:pStyle w:val="null3"/>
              <w:jc w:val="left"/>
            </w:pPr>
            <w:r>
              <w:rPr>
                <w:rFonts w:ascii="仿宋_GB2312" w:hAnsi="仿宋_GB2312" w:cs="仿宋_GB2312" w:eastAsia="仿宋_GB2312"/>
                <w:sz w:val="28"/>
                <w:color w:val="000000"/>
              </w:rPr>
              <w:t>（三）计划工期：</w:t>
            </w:r>
            <w:r>
              <w:rPr>
                <w:rFonts w:ascii="仿宋_GB2312" w:hAnsi="仿宋_GB2312" w:cs="仿宋_GB2312" w:eastAsia="仿宋_GB2312"/>
                <w:sz w:val="28"/>
                <w:color w:val="000000"/>
              </w:rPr>
              <w:t>30日历天。</w:t>
            </w:r>
          </w:p>
          <w:p>
            <w:pPr>
              <w:pStyle w:val="null3"/>
              <w:jc w:val="left"/>
            </w:pPr>
            <w:r>
              <w:rPr>
                <w:rFonts w:ascii="仿宋_GB2312" w:hAnsi="仿宋_GB2312" w:cs="仿宋_GB2312" w:eastAsia="仿宋_GB2312"/>
                <w:sz w:val="28"/>
                <w:color w:val="000000"/>
              </w:rPr>
              <w:t>（四）工程质量保修期：按国家规范执行。</w:t>
            </w:r>
          </w:p>
          <w:p>
            <w:pPr>
              <w:pStyle w:val="null3"/>
              <w:jc w:val="left"/>
            </w:pPr>
            <w:r>
              <w:rPr>
                <w:rFonts w:ascii="仿宋_GB2312" w:hAnsi="仿宋_GB2312" w:cs="仿宋_GB2312" w:eastAsia="仿宋_GB2312"/>
                <w:sz w:val="28"/>
                <w:color w:val="000000"/>
              </w:rPr>
              <w:t>（五）质量要求：工程质量符合达到国家现行施工验收规范</w:t>
            </w:r>
            <w:r>
              <w:rPr>
                <w:rFonts w:ascii="仿宋_GB2312" w:hAnsi="仿宋_GB2312" w:cs="仿宋_GB2312" w:eastAsia="仿宋_GB2312"/>
                <w:sz w:val="28"/>
                <w:color w:val="000000"/>
              </w:rPr>
              <w:t>“合格”标准。</w:t>
            </w:r>
          </w:p>
          <w:p>
            <w:pPr>
              <w:pStyle w:val="null3"/>
              <w:jc w:val="left"/>
            </w:pPr>
            <w:r>
              <w:rPr>
                <w:rFonts w:ascii="仿宋_GB2312" w:hAnsi="仿宋_GB2312" w:cs="仿宋_GB2312" w:eastAsia="仿宋_GB2312"/>
                <w:sz w:val="28"/>
                <w:color w:val="000000"/>
              </w:rPr>
              <w:t>三</w:t>
            </w:r>
            <w:r>
              <w:rPr>
                <w:rFonts w:ascii="仿宋_GB2312" w:hAnsi="仿宋_GB2312" w:cs="仿宋_GB2312" w:eastAsia="仿宋_GB2312"/>
                <w:sz w:val="28"/>
                <w:color w:val="000000"/>
              </w:rPr>
              <w:t>、</w:t>
            </w:r>
            <w:r>
              <w:rPr>
                <w:rFonts w:ascii="仿宋_GB2312" w:hAnsi="仿宋_GB2312" w:cs="仿宋_GB2312" w:eastAsia="仿宋_GB2312"/>
                <w:sz w:val="28"/>
                <w:color w:val="000000"/>
              </w:rPr>
              <w:t>编制依据</w:t>
            </w:r>
          </w:p>
          <w:p>
            <w:pPr>
              <w:pStyle w:val="null3"/>
              <w:jc w:val="both"/>
            </w:pPr>
            <w:r>
              <w:rPr>
                <w:rFonts w:ascii="仿宋_GB2312" w:hAnsi="仿宋_GB2312" w:cs="仿宋_GB2312" w:eastAsia="仿宋_GB2312"/>
                <w:sz w:val="28"/>
                <w:color w:val="000000"/>
              </w:rPr>
              <w:t>（一）</w:t>
            </w:r>
            <w:r>
              <w:rPr>
                <w:rFonts w:ascii="仿宋_GB2312" w:hAnsi="仿宋_GB2312" w:cs="仿宋_GB2312" w:eastAsia="仿宋_GB2312"/>
                <w:sz w:val="28"/>
                <w:color w:val="000000"/>
              </w:rPr>
              <w:t>《中华人民共和国预算法》（</w:t>
            </w:r>
            <w:r>
              <w:rPr>
                <w:rFonts w:ascii="仿宋_GB2312" w:hAnsi="仿宋_GB2312" w:cs="仿宋_GB2312" w:eastAsia="仿宋_GB2312"/>
                <w:sz w:val="28"/>
                <w:color w:val="000000"/>
              </w:rPr>
              <w:t>2018年12月29日修正）；</w:t>
            </w:r>
          </w:p>
          <w:p>
            <w:pPr>
              <w:pStyle w:val="null3"/>
              <w:jc w:val="both"/>
            </w:pPr>
            <w:r>
              <w:rPr>
                <w:rFonts w:ascii="仿宋_GB2312" w:hAnsi="仿宋_GB2312" w:cs="仿宋_GB2312" w:eastAsia="仿宋_GB2312"/>
                <w:sz w:val="28"/>
                <w:color w:val="000000"/>
              </w:rPr>
              <w:t>（二）</w:t>
            </w:r>
            <w:r>
              <w:rPr>
                <w:rFonts w:ascii="仿宋_GB2312" w:hAnsi="仿宋_GB2312" w:cs="仿宋_GB2312" w:eastAsia="仿宋_GB2312"/>
                <w:sz w:val="28"/>
                <w:color w:val="000000"/>
              </w:rPr>
              <w:t>中华人民共和国财政部令第</w:t>
            </w:r>
            <w:r>
              <w:rPr>
                <w:rFonts w:ascii="仿宋_GB2312" w:hAnsi="仿宋_GB2312" w:cs="仿宋_GB2312" w:eastAsia="仿宋_GB2312"/>
                <w:sz w:val="28"/>
                <w:color w:val="000000"/>
              </w:rPr>
              <w:t>81号《基本建设财务规则》（2016年4月26日）；</w:t>
            </w:r>
          </w:p>
          <w:p>
            <w:pPr>
              <w:pStyle w:val="null3"/>
              <w:jc w:val="both"/>
            </w:pPr>
            <w:r>
              <w:rPr>
                <w:rFonts w:ascii="仿宋_GB2312" w:hAnsi="仿宋_GB2312" w:cs="仿宋_GB2312" w:eastAsia="仿宋_GB2312"/>
                <w:sz w:val="28"/>
                <w:color w:val="000000"/>
              </w:rPr>
              <w:t>（三）</w:t>
            </w:r>
            <w:r>
              <w:rPr>
                <w:rFonts w:ascii="仿宋_GB2312" w:hAnsi="仿宋_GB2312" w:cs="仿宋_GB2312" w:eastAsia="仿宋_GB2312"/>
                <w:sz w:val="28"/>
                <w:color w:val="000000"/>
              </w:rPr>
              <w:t>财政部《基本建设项目竣工财务决算管理暂行办法》（财建</w:t>
            </w:r>
            <w:r>
              <w:rPr>
                <w:rFonts w:ascii="仿宋_GB2312" w:hAnsi="仿宋_GB2312" w:cs="仿宋_GB2312" w:eastAsia="仿宋_GB2312"/>
                <w:sz w:val="28"/>
                <w:color w:val="000000"/>
              </w:rPr>
              <w:t>[2016]503号）；</w:t>
            </w:r>
          </w:p>
          <w:p>
            <w:pPr>
              <w:pStyle w:val="null3"/>
              <w:jc w:val="both"/>
            </w:pPr>
            <w:r>
              <w:rPr>
                <w:rFonts w:ascii="仿宋_GB2312" w:hAnsi="仿宋_GB2312" w:cs="仿宋_GB2312" w:eastAsia="仿宋_GB2312"/>
                <w:sz w:val="28"/>
                <w:color w:val="000000"/>
              </w:rPr>
              <w:t>（四）</w:t>
            </w:r>
            <w:r>
              <w:rPr>
                <w:rFonts w:ascii="仿宋_GB2312" w:hAnsi="仿宋_GB2312" w:cs="仿宋_GB2312" w:eastAsia="仿宋_GB2312"/>
                <w:sz w:val="28"/>
                <w:color w:val="000000"/>
              </w:rPr>
              <w:t>铜川市人民政府《铜川市财政投资评审管理办法》（铜政办发［</w:t>
            </w:r>
            <w:r>
              <w:rPr>
                <w:rFonts w:ascii="仿宋_GB2312" w:hAnsi="仿宋_GB2312" w:cs="仿宋_GB2312" w:eastAsia="仿宋_GB2312"/>
                <w:sz w:val="28"/>
                <w:color w:val="000000"/>
              </w:rPr>
              <w:t>2023］4号）；</w:t>
            </w:r>
          </w:p>
          <w:p>
            <w:pPr>
              <w:pStyle w:val="null3"/>
              <w:jc w:val="both"/>
            </w:pPr>
            <w:r>
              <w:rPr>
                <w:rFonts w:ascii="仿宋_GB2312" w:hAnsi="仿宋_GB2312" w:cs="仿宋_GB2312" w:eastAsia="仿宋_GB2312"/>
                <w:sz w:val="28"/>
                <w:color w:val="000000"/>
              </w:rPr>
              <w:t>（五）</w:t>
            </w:r>
            <w:r>
              <w:rPr>
                <w:rFonts w:ascii="仿宋_GB2312" w:hAnsi="仿宋_GB2312" w:cs="仿宋_GB2312" w:eastAsia="仿宋_GB2312"/>
                <w:sz w:val="28"/>
                <w:color w:val="000000"/>
              </w:rPr>
              <w:t>铜川市财政局《财政性投资项目评审工作规则》（铜财监</w:t>
            </w:r>
            <w:r>
              <w:rPr>
                <w:rFonts w:ascii="仿宋_GB2312" w:hAnsi="仿宋_GB2312" w:cs="仿宋_GB2312" w:eastAsia="仿宋_GB2312"/>
                <w:sz w:val="28"/>
                <w:color w:val="000000"/>
              </w:rPr>
              <w:t>[2011]1号</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（六）</w:t>
            </w:r>
            <w:r>
              <w:rPr>
                <w:rFonts w:ascii="仿宋_GB2312" w:hAnsi="仿宋_GB2312" w:cs="仿宋_GB2312" w:eastAsia="仿宋_GB2312"/>
                <w:sz w:val="28"/>
                <w:color w:val="000000"/>
              </w:rPr>
              <w:t>《陕西省建设工程工程量清单计价计算标准</w:t>
            </w:r>
            <w:r>
              <w:rPr>
                <w:rFonts w:ascii="仿宋_GB2312" w:hAnsi="仿宋_GB2312" w:cs="仿宋_GB2312" w:eastAsia="仿宋_GB2312"/>
                <w:sz w:val="28"/>
                <w:color w:val="000000"/>
              </w:rPr>
              <w:t>(2025)》、《陕西省房屋建筑与装饰工程消耗量定额（2025）》、《陕西省房屋建筑与装饰工程基价表（2025）》及相应的取费定额；</w:t>
            </w:r>
          </w:p>
          <w:p>
            <w:pPr>
              <w:pStyle w:val="null3"/>
              <w:jc w:val="both"/>
            </w:pPr>
            <w:r>
              <w:rPr>
                <w:rFonts w:ascii="仿宋_GB2312" w:hAnsi="仿宋_GB2312" w:cs="仿宋_GB2312" w:eastAsia="仿宋_GB2312"/>
                <w:sz w:val="28"/>
                <w:color w:val="000000"/>
              </w:rPr>
              <w:t>（七）</w:t>
            </w:r>
            <w:r>
              <w:rPr>
                <w:rFonts w:ascii="仿宋_GB2312" w:hAnsi="仿宋_GB2312" w:cs="仿宋_GB2312" w:eastAsia="仿宋_GB2312"/>
                <w:sz w:val="28"/>
                <w:color w:val="000000"/>
              </w:rPr>
              <w:t>建设单位提供的工程预算书、施工图设计等相关技术资料等；</w:t>
            </w:r>
          </w:p>
          <w:p>
            <w:pPr>
              <w:pStyle w:val="null3"/>
              <w:jc w:val="both"/>
            </w:pPr>
            <w:r>
              <w:rPr>
                <w:rFonts w:ascii="仿宋_GB2312" w:hAnsi="仿宋_GB2312" w:cs="仿宋_GB2312" w:eastAsia="仿宋_GB2312"/>
                <w:sz w:val="28"/>
                <w:color w:val="000000"/>
              </w:rPr>
              <w:t>（八）</w:t>
            </w:r>
            <w:r>
              <w:rPr>
                <w:rFonts w:ascii="仿宋_GB2312" w:hAnsi="仿宋_GB2312" w:cs="仿宋_GB2312" w:eastAsia="仿宋_GB2312"/>
                <w:sz w:val="28"/>
                <w:color w:val="000000"/>
              </w:rPr>
              <w:t>2025年第6期铜川市工程造价信息及市场价；</w:t>
            </w:r>
          </w:p>
          <w:p>
            <w:pPr>
              <w:pStyle w:val="null3"/>
              <w:jc w:val="both"/>
            </w:pPr>
            <w:r>
              <w:rPr>
                <w:rFonts w:ascii="仿宋_GB2312" w:hAnsi="仿宋_GB2312" w:cs="仿宋_GB2312" w:eastAsia="仿宋_GB2312"/>
                <w:sz w:val="28"/>
                <w:color w:val="000000"/>
              </w:rPr>
              <w:t>（九）</w:t>
            </w:r>
            <w:r>
              <w:rPr>
                <w:rFonts w:ascii="仿宋_GB2312" w:hAnsi="仿宋_GB2312" w:cs="仿宋_GB2312" w:eastAsia="仿宋_GB2312"/>
                <w:sz w:val="28"/>
                <w:color w:val="000000"/>
              </w:rPr>
              <w:t>国家现行及其他规定</w:t>
            </w:r>
            <w:r>
              <w:rPr>
                <w:rFonts w:ascii="仿宋_GB2312" w:hAnsi="仿宋_GB2312" w:cs="仿宋_GB2312" w:eastAsia="仿宋_GB2312"/>
                <w:sz w:val="30"/>
              </w:rPr>
              <w:t>。</w:t>
            </w:r>
          </w:p>
          <w:p>
            <w:pPr>
              <w:pStyle w:val="null3"/>
              <w:jc w:val="left"/>
            </w:pPr>
            <w:r>
              <w:rPr>
                <w:rFonts w:ascii="仿宋_GB2312" w:hAnsi="仿宋_GB2312" w:cs="仿宋_GB2312" w:eastAsia="仿宋_GB2312"/>
                <w:sz w:val="28"/>
                <w:color w:val="000000"/>
              </w:rPr>
              <w:t>四、施工要求</w:t>
            </w:r>
          </w:p>
          <w:p>
            <w:pPr>
              <w:pStyle w:val="null3"/>
              <w:ind w:firstLine="560"/>
              <w:jc w:val="left"/>
            </w:pPr>
            <w:r>
              <w:rPr>
                <w:rFonts w:ascii="仿宋_GB2312" w:hAnsi="仿宋_GB2312" w:cs="仿宋_GB2312" w:eastAsia="仿宋_GB2312"/>
                <w:sz w:val="28"/>
                <w:color w:val="000000"/>
              </w:rPr>
              <w:t>在施工期间，中标供应商必须注意院内人员安全，加强安全措施，并对施工人员进行安全教育。施工人员必须持证上岗。</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1）安全方面施工人员要具备相应资质，遵守安全制度，如戴好安全帽等基本防护装备。 在施工现场周围设置明显的警示标志，像“正在施工，请勿靠近”的牌子，防止学员和教职工意外闯入。 对于有高空作业的情况，要确保脚手架等设备安装牢固。</w:t>
            </w:r>
          </w:p>
          <w:p>
            <w:pPr>
              <w:pStyle w:val="null3"/>
              <w:jc w:val="left"/>
            </w:pPr>
            <w:r>
              <w:rPr>
                <w:rFonts w:ascii="仿宋_GB2312" w:hAnsi="仿宋_GB2312" w:cs="仿宋_GB2312" w:eastAsia="仿宋_GB2312"/>
                <w:sz w:val="28"/>
                <w:color w:val="000000"/>
              </w:rPr>
              <w:t>(2)时间安排应避免在正常工作时间进行高噪音施工，如电钻等发出巨大声响的操作可以安排在下班后或者节假日进行。</w:t>
            </w:r>
          </w:p>
          <w:p>
            <w:pPr>
              <w:pStyle w:val="null3"/>
              <w:jc w:val="left"/>
            </w:pPr>
            <w:r>
              <w:rPr>
                <w:rFonts w:ascii="仿宋_GB2312" w:hAnsi="仿宋_GB2312" w:cs="仿宋_GB2312" w:eastAsia="仿宋_GB2312"/>
                <w:sz w:val="28"/>
                <w:color w:val="000000"/>
              </w:rPr>
              <w:t>(3)环境保护控制粉尘和建筑垃圾，像切割瓷砖等容易产生粉尘的工序，要采取洒水降尘措施。建筑垃圾要及时清理并运走，不能随意堆放，避免影响校园环境。</w:t>
            </w:r>
          </w:p>
          <w:p>
            <w:pPr>
              <w:pStyle w:val="null3"/>
              <w:jc w:val="left"/>
            </w:pPr>
            <w:r>
              <w:rPr>
                <w:rFonts w:ascii="仿宋_GB2312" w:hAnsi="仿宋_GB2312" w:cs="仿宋_GB2312" w:eastAsia="仿宋_GB2312"/>
                <w:sz w:val="28"/>
                <w:color w:val="000000"/>
              </w:rPr>
              <w:t>五、商务要求</w:t>
            </w:r>
          </w:p>
          <w:p>
            <w:pPr>
              <w:pStyle w:val="null3"/>
              <w:jc w:val="left"/>
            </w:pPr>
            <w:r>
              <w:rPr>
                <w:rFonts w:ascii="仿宋_GB2312" w:hAnsi="仿宋_GB2312" w:cs="仿宋_GB2312" w:eastAsia="仿宋_GB2312"/>
                <w:sz w:val="28"/>
                <w:color w:val="000000"/>
              </w:rPr>
              <w:t>1.服务期：自合同签订之日起，按要求施工。</w:t>
            </w:r>
          </w:p>
          <w:p>
            <w:pPr>
              <w:pStyle w:val="null3"/>
              <w:jc w:val="left"/>
            </w:pPr>
            <w:r>
              <w:rPr>
                <w:rFonts w:ascii="仿宋_GB2312" w:hAnsi="仿宋_GB2312" w:cs="仿宋_GB2312" w:eastAsia="仿宋_GB2312"/>
                <w:sz w:val="28"/>
                <w:color w:val="000000"/>
              </w:rPr>
              <w:t>2.提供服务时间：接到采购人订单之日起按要求时间完工。</w:t>
            </w:r>
          </w:p>
          <w:p>
            <w:pPr>
              <w:pStyle w:val="null3"/>
              <w:jc w:val="left"/>
            </w:pPr>
            <w:r>
              <w:rPr>
                <w:rFonts w:ascii="仿宋_GB2312" w:hAnsi="仿宋_GB2312" w:cs="仿宋_GB2312" w:eastAsia="仿宋_GB2312"/>
                <w:sz w:val="28"/>
                <w:color w:val="000000"/>
              </w:rPr>
              <w:t>3.支付方式：</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1）合同签订后，项目竣工验收达到合格标准 ，达到付款条件起 10 日内，支付合同总金额的 85.00%。</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 竣工结算审计完成并交付半年后无质量问题，无索赔争议 ，达到付款条件起 10 日内，支付合同总金额的 15.00%。</w:t>
            </w:r>
          </w:p>
          <w:p>
            <w:pPr>
              <w:pStyle w:val="null3"/>
              <w:jc w:val="left"/>
            </w:pPr>
            <w:r>
              <w:rPr>
                <w:rFonts w:ascii="仿宋_GB2312" w:hAnsi="仿宋_GB2312" w:cs="仿宋_GB2312" w:eastAsia="仿宋_GB2312"/>
                <w:sz w:val="28"/>
              </w:rPr>
              <w:t>六、其他</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1）质量验收标准或规范</w:t>
            </w:r>
          </w:p>
          <w:p>
            <w:pPr>
              <w:pStyle w:val="null3"/>
              <w:ind w:firstLine="560"/>
              <w:jc w:val="left"/>
            </w:pPr>
            <w:r>
              <w:rPr>
                <w:rFonts w:ascii="仿宋_GB2312" w:hAnsi="仿宋_GB2312" w:cs="仿宋_GB2312" w:eastAsia="仿宋_GB2312"/>
                <w:sz w:val="28"/>
                <w:color w:val="000000"/>
              </w:rPr>
              <w:t>现行的国家标准或国家行政部门颁布的法律法规、规章制度等，是验收项目的另一个重要依据。没有国家标准的，可以参考行业标准。</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2）违约责任</w:t>
            </w:r>
          </w:p>
          <w:p>
            <w:pPr>
              <w:pStyle w:val="null3"/>
              <w:ind w:firstLine="560"/>
              <w:jc w:val="left"/>
            </w:pPr>
            <w:r>
              <w:rPr>
                <w:rFonts w:ascii="仿宋_GB2312" w:hAnsi="仿宋_GB2312" w:cs="仿宋_GB2312" w:eastAsia="仿宋_GB2312"/>
                <w:sz w:val="28"/>
                <w:color w:val="000000"/>
              </w:rPr>
              <w:t>如有违约按照合同规定履行</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3）与本工程相关的特别说明：</w:t>
            </w:r>
          </w:p>
          <w:p>
            <w:pPr>
              <w:pStyle w:val="null3"/>
              <w:ind w:firstLine="560"/>
              <w:jc w:val="left"/>
            </w:pPr>
            <w:r>
              <w:rPr>
                <w:rFonts w:ascii="仿宋_GB2312" w:hAnsi="仿宋_GB2312" w:cs="仿宋_GB2312" w:eastAsia="仿宋_GB2312"/>
                <w:sz w:val="28"/>
                <w:color w:val="000000"/>
              </w:rPr>
              <w:t>本项目费用以合同签订费用为准，无其他费用。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工期：30日历天。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近三年任意一年度的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证书等级：具备建设行政主管部门颁发的建筑装修装饰工程专业承包二级及以上资质；且具备有效的安全生产许可证； 专业：（1）拟派项目经理具备建筑工程专业或装饰装修工程专业二级及以上注册建造师证书，并具备有效的安全生产考核合格证（B证），且在本单位注册，以及无不良信用记录和无在建工程的承诺书。（2）供应商基本信息及项目经理的基本信息在“陕西省住房和城乡建设厅（http://js.shaanxi.gov.cn/）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近三年任意一年度的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提供响应文件递交截止时间前一年内任意一个月的缴费证明（依法免税的供应商应提供相关文件证明）；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提供响应文件递交截止时间前一年内任意一个月的社保缴费证明或社保机构开具的社会保险参保缴费情况证明（依法不需要缴纳社会保障资金的供应商应提供相关证明）；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w:t>
            </w:r>
          </w:p>
        </w:tc>
        <w:tc>
          <w:tcPr>
            <w:tcW w:type="dxa" w:w="1661"/>
          </w:tcPr>
          <w:p>
            <w:pPr>
              <w:pStyle w:val="null3"/>
            </w:pPr>
            <w:r>
              <w:rPr>
                <w:rFonts w:ascii="仿宋_GB2312" w:hAnsi="仿宋_GB2312" w:cs="仿宋_GB2312" w:eastAsia="仿宋_GB2312"/>
              </w:rPr>
              <w:t>供应商应提交的相关资格证明材料.docx 法定代表人身份证明书.docx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授权人签名（或盖章），其余页面逐页盖公章，否则将作为无效响应文件处理。磋商文件凡是要求法定代表人签名或盖章之处，非法人单位的负责人参照执行。</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法定代表人身份证明书.docx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三、赋分标准（满分13.5分） ①施工目标：此评审项满分4.5分，每完全满足一个评审标准得1.5分，针对每条评审标准，如存在不详尽或不合理的方面，得1分；针对每条评审标准，方案内容与本项目无关或未提供的，得0分。 ②施工准备：此评审项满分4.5分，每完全满足一个评审标准得1.5分，针对每条评审标准，如存在不详尽或不合理的方面，得1分；针对每条评审标准，方案内容与本项目无关或未提供的，得0分。 ③施工平面布置与安排：此评审项满分4.5分，每完全满足一个评审标准得1.5分，针对每条评审标准，如存在不详尽或不合理的方面，得1分；针对每条评审标准，方案内容与本项目无关或未提供的，得0分。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供应商针对本项目编制完整的文明施工措施，内容包含：①文明施工管理目标及技术措施；②文明施工现场管理：材料管理、防扰民措施；③环境保护措施。 二、评审标准 1、完整性：方案必须全面，对评审内容中的各项要求有详细描述； 2、可实施性：切合本项目实际情况，提出步骤清晰、合理的方案； 3、针对性：方案能够紧扣项目实际情况，内容科学合理。 三、赋分标准（满分9分） ①文明施工管理目标及技术措施：此评审项满分3分，每完全满足一个评审标准得1分，针对每条评审标准，如存在不详尽或不合理的方面，得0.5分；针对每条评审标准，方案内容与本项目无关或未提供的，得0分。 ②文明施工现场管理：此评审项满分3分，每完全满足一个评审标准得1分，针对每条评审标准，如存在不详尽或不合理的方面，得0.5分；针对每条评审标准，方案内容与本项目无关或未提供的，得0分。 ③环境保护措施：此评审项满分3分，每完全满足一个评审标准得1分，针对每条评审标准，如存在不详尽或不合理的方面，得0.5分；针对每条评审标准，方案内容与本项目无关或未提供的，得0分。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供应商针对本项目编制科学的项目管理机构及劳动力安排计划，内容包含：①管理机构的配备计划；②组织机构的岗位职责；③劳动力安排计划。 二、评审标准 1、完整性：方案必须全面，对评审内容中的各项要求有详细描述； 2、可实施性：切合本项目实际情况，提出步骤清晰、合理的方案； 3、针对性：方案能够紧扣项目实际情况，内容科学合理。 三、赋分标准（满分9分） ①管理机构的配备计划：此评审项满分3分，每完全满足一个评审标准得1分，针对每条评审标准，如存在不详尽或不合理的方面，得0.5分；针对每条评审标准，方案内容与本项目无关或未提供的，得0分。 ②组织机构的岗位职责：此评审项满分3分，每完全满足一个评审标准得1分，针对每条评审标准，如存在不详尽或不合理的方面，得0.5分；针对每条评审标准，方案内容与本项目无关或未提供的，得0分。 ③劳动力安排计划：此评审项满分3分，每完全满足一个评审标准得1分，针对每条评审标准，如存在不详尽或不合理的方面，得0.5分；针对每条评审标准，方案内容与本项目无关或未提供的，得0分。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一、评审内容结合本项目的实际，供应商应依据国家相关规定提出应用方案，内容包含：①新技术、新产品、新工艺、新材料应用方案； 二、评审标准 1、完整性：内容必须全面，对评审内容中的各项要求有详细描述； 2、落实性：切合项目具体情况，提出责任明确、要求具体的方案； 3、针对性：内容能够紧扣项目实际情况，内容科学合理。 三、赋分标准（满分4分）此评审项满分4分，每完全满足一个评审标准得1分，针对每条评审标准，如存在不详尽或不合理的方面，得0.5分；针对每条评审标准，方案内容与本项目无关或未提供的，得0分。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三、赋分标准（满分6分） ①验收方案：此评审项满分3分，每完全满足一个评审标准得1分，针对每条评审标准，如存在不详尽或不合理的方面，得0.5分；针对每条评审标准，方案内容与本项目无关或未提供的，得0分。 ②保修责任及保修承诺：此评审项满分3分，每完全满足一个评审标准得1分，针对每条评审标准，如存在不详尽或不合理的方面，得0.5分；针对每条评审标准，方案内容与本项目无关或未提供的，得0分。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具有2023年3月1日至今的类似业绩(以合同签订日期为准)，业绩以合同复印件为依据。每个业绩计1.5分，3个以上(含3个)计4.5分。未提供计0分。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评审价为磋商基准价，其价格分为满分。其他供应商的价格分统一按照下列公式计算：有效报价得分=（磋商基准价/磋商评审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