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版本号：SCZE2026-ZB-0774-00120260513001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铜川市中医医疗集团资源整合与分级诊疗服务项目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SCZE2026-ZB-0774-001</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铜川市中医医疗集团资源整合与分级诊疗服务项目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SCZE2026-ZB-0774-001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铜川市中医医疗集团资源整合与分级诊疗服务项目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拟采购铜川市中医医疗集团资源整合与分级诊疗服务项目涉及转会诊与远程医疗平台 1 项 ，详见采购需求。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采购包1（铜川市中医医疗集团资源整合与分级诊疗服务项目）：属于专门面向中小企业采购。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若法定代表人或单位负责人投标的，应提供法定代表人或单位负责人身份证明；若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西安市高新区唐延南路都市之门C座9层招标五部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采购包1：4,783,300.00元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代理服务费收费标准：参考《国家计委关于印发&lt;招标代理服务收费管理暂行办法&gt;的通知》(计价格【2002】1980号)规定按标准按标段计取，不足6000.00元按6000.00元计取。 交费方式:对公转账 银行户名:陕西省采购招标有限责任公司 开户银行:中国光大银行西安友谊路支行 账·号: 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拟采购铜川市中医医疗集团资源整合与分级诊疗服务项目涉及转会诊与远程医疗平台 1 项 ，详见采购需求。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4,783,300.00</w:t>
      </w:r>
    </w:p>
    <w:p>
      <w:pPr>
        <w:pStyle w:val="null3"/>
      </w:pPr>
      <w:r>
        <w:rPr>
          <w:rFonts w:ascii="仿宋_GB2312" w:hAnsi="仿宋_GB2312" w:cs="仿宋_GB2312" w:eastAsia="仿宋_GB2312"/>
        </w:rPr>
        <w:t>采购包最高限价（元）: 4,783,300.00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转会诊与远程医疗平台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4,783,300.00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标的名称：转会诊与远程医疗平台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一、实现外部专家资源对接，上下转诊协同，内部资源赋能协同。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二，服务要求</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项目</w:t>
                  </w:r>
                </w:p>
              </w:tc>
              <w:tc>
                <w:tcPr>
                  <w:tcW w:type="dxa" w:w="851"/>
                </w:tcPr>
                <w:p>
                  <w:pPr>
                    <w:pStyle w:val="null3"/>
                  </w:pPr>
                  <w:r>
                    <w:rPr>
                      <w:rFonts w:ascii="仿宋_GB2312" w:hAnsi="仿宋_GB2312" w:cs="仿宋_GB2312" w:eastAsia="仿宋_GB2312"/>
                    </w:rPr>
                    <w:t>服务要求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整体要求</w:t>
                  </w:r>
                </w:p>
              </w:tc>
              <w:tc>
                <w:tcPr>
                  <w:tcW w:type="dxa" w:w="851"/>
                </w:tcPr>
                <w:p>
                  <w:pPr>
                    <w:pStyle w:val="null3"/>
                  </w:pPr>
                  <w:r>
                    <w:rPr>
                      <w:rFonts w:ascii="仿宋_GB2312" w:hAnsi="仿宋_GB2312" w:cs="仿宋_GB2312" w:eastAsia="仿宋_GB2312"/>
                    </w:rPr>
                    <w:t>转会诊与远程医疗平台系统要求对HIS等医院其他信息系统的数据对接，实现医护人员在触控大屏上对本科室病人基本信息、交班信息、检验检查信息可进行快速获取、检索，全面服务于医护人员监测病区状况，辅助业务进行，服务内容如下：</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全市中医堂一张图</w:t>
                  </w:r>
                </w:p>
              </w:tc>
              <w:tc>
                <w:tcPr>
                  <w:tcW w:type="dxa" w:w="851"/>
                </w:tcPr>
                <w:p>
                  <w:pPr>
                    <w:pStyle w:val="null3"/>
                  </w:pPr>
                  <w:r>
                    <w:rPr>
                      <w:rFonts w:ascii="仿宋_GB2312" w:hAnsi="仿宋_GB2312" w:cs="仿宋_GB2312" w:eastAsia="仿宋_GB2312"/>
                    </w:rPr>
                    <w:t>全市中医堂位置、负责人简介、特长信息展示，方便患者快速了解定位全市中医堂详细信息，快速根据自身症状定位中医馆位置，匹配合适的中医堂就医。</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影像诊断服务中心</w:t>
                  </w:r>
                </w:p>
              </w:tc>
              <w:tc>
                <w:tcPr>
                  <w:tcW w:type="dxa" w:w="851"/>
                </w:tcPr>
                <w:p>
                  <w:pPr>
                    <w:pStyle w:val="null3"/>
                  </w:pPr>
                  <w:r>
                    <w:rPr>
                      <w:rFonts w:ascii="仿宋_GB2312" w:hAnsi="仿宋_GB2312" w:cs="仿宋_GB2312" w:eastAsia="仿宋_GB2312"/>
                    </w:rPr>
                    <w:t>实现影像诊断在集团中心医院与县级中医院、基层医院业务的统一与协同，无论在诊疗水平上，还是在质量控制水平上，提供医疗集团内同质量化的影像诊断服务。通过搭载在中心端上的业务服务，为基层医疗卫生机构赋能。让患者能便捷、及时享受集团内高级别医院的诊断服务。</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心电诊断服务中心</w:t>
                  </w:r>
                </w:p>
              </w:tc>
              <w:tc>
                <w:tcPr>
                  <w:tcW w:type="dxa" w:w="851"/>
                </w:tcPr>
                <w:p>
                  <w:pPr>
                    <w:pStyle w:val="null3"/>
                  </w:pPr>
                  <w:r>
                    <w:rPr>
                      <w:rFonts w:ascii="仿宋_GB2312" w:hAnsi="仿宋_GB2312" w:cs="仿宋_GB2312" w:eastAsia="仿宋_GB2312"/>
                    </w:rPr>
                    <w:t>实现心电诊断在集团中心医院与县级中医院、基层医院业务的统一与协同，无论在诊疗水平上，还是在质量控制水平上，提供医疗集团内同质量化的心电诊断服务。通过搭载在中心端上的业务服务，为基层医疗卫生机构赋能。让患者能便捷、及时享受集团内高级别医院的诊断服务。</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检验服务中心</w:t>
                  </w:r>
                </w:p>
              </w:tc>
              <w:tc>
                <w:tcPr>
                  <w:tcW w:type="dxa" w:w="851"/>
                </w:tcPr>
                <w:p>
                  <w:pPr>
                    <w:pStyle w:val="null3"/>
                  </w:pPr>
                  <w:r>
                    <w:rPr>
                      <w:rFonts w:ascii="仿宋_GB2312" w:hAnsi="仿宋_GB2312" w:cs="仿宋_GB2312" w:eastAsia="仿宋_GB2312"/>
                    </w:rPr>
                    <w:t>提供基层患者去上级医院进行检验的服务通道或基层采集样本后通过配送，上级医院进行检验业务处理，并将结果回传给基层医院。整个服务过程详细记录标本处理的每节点信息，并可实时查询监控，对数据可靠性实时提醒用户来干预，最终实现检验科工作全过程（标本前处理、标本检测中，标本后处理）的有效控制，保证检验工作符合规定要求，提供可靠的检验数据和有效的检验报告,拓展基层医院的检验服务能力。</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rPr>
                    <w:t>科室管理</w:t>
                  </w:r>
                </w:p>
              </w:tc>
              <w:tc>
                <w:tcPr>
                  <w:tcW w:type="dxa" w:w="851"/>
                </w:tcPr>
                <w:p>
                  <w:pPr>
                    <w:pStyle w:val="null3"/>
                  </w:pPr>
                  <w:r>
                    <w:rPr>
                      <w:rFonts w:ascii="仿宋_GB2312" w:hAnsi="仿宋_GB2312" w:cs="仿宋_GB2312" w:eastAsia="仿宋_GB2312"/>
                    </w:rPr>
                    <w:t>实现省、市、区、县镇、村五级医疗机构互通，确保核心转诊点与各级机构科室信息一致，为转诊流程中的科室分配、接诊衔接筑牢基础。</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rPr>
                    <w:t>医生管理</w:t>
                  </w:r>
                </w:p>
              </w:tc>
              <w:tc>
                <w:tcPr>
                  <w:tcW w:type="dxa" w:w="851"/>
                </w:tcPr>
                <w:p>
                  <w:pPr>
                    <w:pStyle w:val="null3"/>
                  </w:pPr>
                  <w:r>
                    <w:rPr>
                      <w:rFonts w:ascii="仿宋_GB2312" w:hAnsi="仿宋_GB2312" w:cs="仿宋_GB2312" w:eastAsia="仿宋_GB2312"/>
                    </w:rPr>
                    <w:t>实现医疗机构医生基础信息（姓名、职称、所在科室、联系电话等）新增、修改、完善，可分配转会诊相关角色（转诊中心、全科门诊、急诊中心等），精准分配科室管理权限及信息查看权限，实现权限批量调整；转诊中心可统筹管理转诊相关医生信息，重点关联核心转诊点专家资源，支撑转诊调度与会诊安排。</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rPr>
                    <w:t>联盟与机构管理</w:t>
                  </w:r>
                </w:p>
              </w:tc>
              <w:tc>
                <w:tcPr>
                  <w:tcW w:type="dxa" w:w="851"/>
                </w:tcPr>
                <w:p>
                  <w:pPr>
                    <w:pStyle w:val="null3"/>
                  </w:pPr>
                  <w:r>
                    <w:rPr>
                      <w:rFonts w:ascii="仿宋_GB2312" w:hAnsi="仿宋_GB2312" w:cs="仿宋_GB2312" w:eastAsia="仿宋_GB2312"/>
                    </w:rPr>
                    <w:t>实现转诊联盟内合作医院新增、修改、移出，可录入医院全称、等级、地址、联系人、联系方式等信息；实现联盟内所有医院科室、医生信息统一管理、批量维护，可按医院名称、科室名称等条件快速查询；以核心转诊点为核心，由转诊中心负责统筹联盟建设，整合优质医疗资源，联动各级医疗机构构建上下贯通、高效协同的转诊网络。</w:t>
                  </w:r>
                </w:p>
              </w:tc>
            </w:tr>
            <w:tr>
              <w:tc>
                <w:tcPr>
                  <w:tcW w:type="dxa" w:w="851"/>
                </w:tcPr>
                <w:p>
                  <w:pPr>
                    <w:pStyle w:val="null3"/>
                  </w:pPr>
                  <w:r>
                    <w:rPr>
                      <w:rFonts w:ascii="仿宋_GB2312" w:hAnsi="仿宋_GB2312" w:cs="仿宋_GB2312" w:eastAsia="仿宋_GB2312"/>
                    </w:rPr>
                    <w:t>1.8</w:t>
                  </w:r>
                </w:p>
              </w:tc>
              <w:tc>
                <w:tcPr>
                  <w:tcW w:type="dxa" w:w="851"/>
                </w:tcPr>
                <w:p>
                  <w:pPr>
                    <w:pStyle w:val="null3"/>
                  </w:pPr>
                  <w:r>
                    <w:rPr>
                      <w:rFonts w:ascii="仿宋_GB2312" w:hAnsi="仿宋_GB2312" w:cs="仿宋_GB2312" w:eastAsia="仿宋_GB2312"/>
                    </w:rPr>
                    <w:t>发起上转</w:t>
                  </w:r>
                </w:p>
              </w:tc>
              <w:tc>
                <w:tcPr>
                  <w:tcW w:type="dxa" w:w="851"/>
                </w:tcPr>
                <w:p>
                  <w:pPr>
                    <w:pStyle w:val="null3"/>
                  </w:pPr>
                  <w:r>
                    <w:rPr>
                      <w:rFonts w:ascii="仿宋_GB2312" w:hAnsi="仿宋_GB2312" w:cs="仿宋_GB2312" w:eastAsia="仿宋_GB2312"/>
                    </w:rPr>
                    <w:t>实现基层（镇、村、县）医生发起上转申请，完整录入患者基本信息、体征、诊断结果、病情描述，可拍照上传病历、检查报告、影像资料等附件，附件清晰可辨、实现在线预览，实现被驳回申请修改后重新提交或关闭，操作全程留痕可追溯，确保转诊中心统筹跟踪、核心转诊点精准对接，实现上转申请全流程可管控。</w:t>
                  </w:r>
                </w:p>
              </w:tc>
            </w:tr>
            <w:tr>
              <w:tc>
                <w:tcPr>
                  <w:tcW w:type="dxa" w:w="851"/>
                </w:tcPr>
                <w:p>
                  <w:pPr>
                    <w:pStyle w:val="null3"/>
                  </w:pPr>
                  <w:r>
                    <w:rPr>
                      <w:rFonts w:ascii="仿宋_GB2312" w:hAnsi="仿宋_GB2312" w:cs="仿宋_GB2312" w:eastAsia="仿宋_GB2312"/>
                    </w:rPr>
                    <w:t>1.9</w:t>
                  </w:r>
                </w:p>
              </w:tc>
              <w:tc>
                <w:tcPr>
                  <w:tcW w:type="dxa" w:w="851"/>
                </w:tcPr>
                <w:p>
                  <w:pPr>
                    <w:pStyle w:val="null3"/>
                  </w:pPr>
                  <w:r>
                    <w:rPr>
                      <w:rFonts w:ascii="仿宋_GB2312" w:hAnsi="仿宋_GB2312" w:cs="仿宋_GB2312" w:eastAsia="仿宋_GB2312"/>
                    </w:rPr>
                    <w:t>多级审核</w:t>
                  </w:r>
                </w:p>
              </w:tc>
              <w:tc>
                <w:tcPr>
                  <w:tcW w:type="dxa" w:w="851"/>
                </w:tcPr>
                <w:p>
                  <w:pPr>
                    <w:pStyle w:val="null3"/>
                  </w:pPr>
                  <w:r>
                    <w:rPr>
                      <w:rFonts w:ascii="仿宋_GB2312" w:hAnsi="仿宋_GB2312" w:cs="仿宋_GB2312" w:eastAsia="仿宋_GB2312"/>
                    </w:rPr>
                    <w:t>实现基层医务部人工审核与自动审核双模式，自动审核结果可追溯、可核查；转诊中心作为统筹审核核心，可查看完整转诊资料，结合核心转诊点资源配置情况，对不符合条件的申请驳回并填写原因，实时反馈至发起医生；审核通过后自动建立院内就诊档案，实现转诊信息与就诊档案无缝衔接，无需重复录入，确保核心转诊点可快速获取患者完整信息，高效开展诊疗对接，衔接好上转申请与后续接诊环节。</w:t>
                  </w:r>
                </w:p>
              </w:tc>
            </w:tr>
            <w:tr>
              <w:tc>
                <w:tcPr>
                  <w:tcW w:type="dxa" w:w="851"/>
                </w:tcPr>
                <w:p>
                  <w:pPr>
                    <w:pStyle w:val="null3"/>
                  </w:pPr>
                  <w:r>
                    <w:rPr>
                      <w:rFonts w:ascii="仿宋_GB2312" w:hAnsi="仿宋_GB2312" w:cs="仿宋_GB2312" w:eastAsia="仿宋_GB2312"/>
                    </w:rPr>
                    <w:t>1.10</w:t>
                  </w:r>
                </w:p>
              </w:tc>
              <w:tc>
                <w:tcPr>
                  <w:tcW w:type="dxa" w:w="851"/>
                </w:tcPr>
                <w:p>
                  <w:pPr>
                    <w:pStyle w:val="null3"/>
                  </w:pPr>
                  <w:r>
                    <w:rPr>
                      <w:rFonts w:ascii="仿宋_GB2312" w:hAnsi="仿宋_GB2312" w:cs="仿宋_GB2312" w:eastAsia="仿宋_GB2312"/>
                    </w:rPr>
                    <w:t>科室分配与接诊</w:t>
                  </w:r>
                </w:p>
              </w:tc>
              <w:tc>
                <w:tcPr>
                  <w:tcW w:type="dxa" w:w="851"/>
                </w:tcPr>
                <w:p>
                  <w:pPr>
                    <w:pStyle w:val="null3"/>
                  </w:pPr>
                  <w:r>
                    <w:rPr>
                      <w:rFonts w:ascii="仿宋_GB2312" w:hAnsi="仿宋_GB2312" w:cs="仿宋_GB2312" w:eastAsia="仿宋_GB2312"/>
                    </w:rPr>
                    <w:t>实现转诊中心结合患者病情及核心转诊点科室优势，为上转患者发起会诊并邀请基层发起医生参与，精准分配至对应门诊科室，急诊上转患者优先分配至急诊科室；急诊、专科医生可快速查看患者转诊资料，急诊医生可安排住院、发起下转并一键复用患者信息，专科医生可预约住院床位并跟踪进度；实现通过系统直接发起电话联系发起医生与患者，同步相关事宜，转诊中心全程跟踪科室分配及接诊进度，核心转诊点做好诊疗衔接，保障上转流程高效顺畅。</w:t>
                  </w:r>
                </w:p>
              </w:tc>
            </w:tr>
            <w:tr>
              <w:tc>
                <w:tcPr>
                  <w:tcW w:type="dxa" w:w="851"/>
                </w:tcPr>
                <w:p>
                  <w:pPr>
                    <w:pStyle w:val="null3"/>
                  </w:pPr>
                  <w:r>
                    <w:rPr>
                      <w:rFonts w:ascii="仿宋_GB2312" w:hAnsi="仿宋_GB2312" w:cs="仿宋_GB2312" w:eastAsia="仿宋_GB2312"/>
                    </w:rPr>
                    <w:t>1.11</w:t>
                  </w:r>
                </w:p>
              </w:tc>
              <w:tc>
                <w:tcPr>
                  <w:tcW w:type="dxa" w:w="851"/>
                </w:tcPr>
                <w:p>
                  <w:pPr>
                    <w:pStyle w:val="null3"/>
                  </w:pPr>
                  <w:r>
                    <w:rPr>
                      <w:rFonts w:ascii="仿宋_GB2312" w:hAnsi="仿宋_GB2312" w:cs="仿宋_GB2312" w:eastAsia="仿宋_GB2312"/>
                    </w:rPr>
                    <w:t>住院安排</w:t>
                  </w:r>
                </w:p>
              </w:tc>
              <w:tc>
                <w:tcPr>
                  <w:tcW w:type="dxa" w:w="851"/>
                </w:tcPr>
                <w:p>
                  <w:pPr>
                    <w:pStyle w:val="null3"/>
                  </w:pPr>
                  <w:r>
                    <w:rPr>
                      <w:rFonts w:ascii="仿宋_GB2312" w:hAnsi="仿宋_GB2312" w:cs="仿宋_GB2312" w:eastAsia="仿宋_GB2312"/>
                    </w:rPr>
                    <w:t>患者服务中心可统筹安排预约住院患者的床位及相关事宜，重点对接核心转诊点住院资源，合理调配床位，安排结果实时同步至对应科室、转诊中心及发起医生，实现通过系统电话联系发起医生与患者，告知住院相关关键信息，实现上转接诊与住院安排无缝衔接，确保流程闭环。</w:t>
                  </w:r>
                </w:p>
              </w:tc>
            </w:tr>
            <w:tr>
              <w:tc>
                <w:tcPr>
                  <w:tcW w:type="dxa" w:w="851"/>
                </w:tcPr>
                <w:p>
                  <w:pPr>
                    <w:pStyle w:val="null3"/>
                  </w:pPr>
                  <w:r>
                    <w:rPr>
                      <w:rFonts w:ascii="仿宋_GB2312" w:hAnsi="仿宋_GB2312" w:cs="仿宋_GB2312" w:eastAsia="仿宋_GB2312"/>
                    </w:rPr>
                    <w:t>1.12</w:t>
                  </w:r>
                </w:p>
              </w:tc>
              <w:tc>
                <w:tcPr>
                  <w:tcW w:type="dxa" w:w="851"/>
                </w:tcPr>
                <w:p>
                  <w:pPr>
                    <w:pStyle w:val="null3"/>
                  </w:pPr>
                  <w:r>
                    <w:rPr>
                      <w:rFonts w:ascii="仿宋_GB2312" w:hAnsi="仿宋_GB2312" w:cs="仿宋_GB2312" w:eastAsia="仿宋_GB2312"/>
                    </w:rPr>
                    <w:t>发起下转</w:t>
                  </w:r>
                </w:p>
              </w:tc>
              <w:tc>
                <w:tcPr>
                  <w:tcW w:type="dxa" w:w="851"/>
                </w:tcPr>
                <w:p>
                  <w:pPr>
                    <w:pStyle w:val="null3"/>
                  </w:pPr>
                  <w:r>
                    <w:rPr>
                      <w:rFonts w:ascii="仿宋_GB2312" w:hAnsi="仿宋_GB2312" w:cs="仿宋_GB2312" w:eastAsia="仿宋_GB2312"/>
                    </w:rPr>
                    <w:t>实现上级医院医生及核心转诊点医生根据患者病情恢复情况，发起下转至合作基层医院申请，完整录入患者信息，可一键带入上转原有信息，精准选择转入基层医院及科室，设置计划转出时间，详细录入转出原因、后续诊疗意见，可拍照上传住院相关资料、录制语音诊疗指导；转诊中心对核心转诊点发起的下转申请进行统筹把关，结合基层诊疗能力确认下转适配性，确保下转患者得到持续规范诊疗。</w:t>
                  </w:r>
                </w:p>
              </w:tc>
            </w:tr>
            <w:tr>
              <w:tc>
                <w:tcPr>
                  <w:tcW w:type="dxa" w:w="851"/>
                </w:tcPr>
                <w:p>
                  <w:pPr>
                    <w:pStyle w:val="null3"/>
                  </w:pPr>
                  <w:r>
                    <w:rPr>
                      <w:rFonts w:ascii="仿宋_GB2312" w:hAnsi="仿宋_GB2312" w:cs="仿宋_GB2312" w:eastAsia="仿宋_GB2312"/>
                    </w:rPr>
                    <w:t>1.13</w:t>
                  </w:r>
                </w:p>
              </w:tc>
              <w:tc>
                <w:tcPr>
                  <w:tcW w:type="dxa" w:w="851"/>
                </w:tcPr>
                <w:p>
                  <w:pPr>
                    <w:pStyle w:val="null3"/>
                  </w:pPr>
                  <w:r>
                    <w:rPr>
                      <w:rFonts w:ascii="仿宋_GB2312" w:hAnsi="仿宋_GB2312" w:cs="仿宋_GB2312" w:eastAsia="仿宋_GB2312"/>
                    </w:rPr>
                    <w:t>审核与分配</w:t>
                  </w:r>
                </w:p>
              </w:tc>
              <w:tc>
                <w:tcPr>
                  <w:tcW w:type="dxa" w:w="851"/>
                </w:tcPr>
                <w:p>
                  <w:pPr>
                    <w:pStyle w:val="null3"/>
                  </w:pPr>
                  <w:r>
                    <w:rPr>
                      <w:rFonts w:ascii="仿宋_GB2312" w:hAnsi="仿宋_GB2312" w:cs="仿宋_GB2312" w:eastAsia="仿宋_GB2312"/>
                    </w:rPr>
                    <w:t>转诊中心审核下转申请，结合基层医疗机构诊疗能力，统筹分配转诊资源，可通过系统电话联系发起医生与患者，沟通相关细节；将审核通过的患者精准分配至对应基层医院，基层医务部再分配至具体接诊医生，各环节均实现通过系统电话同步相关信息，确保核心转诊点的诊疗指导意见精准传导、基层机构规范落实。</w:t>
                  </w:r>
                </w:p>
              </w:tc>
            </w:tr>
            <w:tr>
              <w:tc>
                <w:tcPr>
                  <w:tcW w:type="dxa" w:w="851"/>
                </w:tcPr>
                <w:p>
                  <w:pPr>
                    <w:pStyle w:val="null3"/>
                  </w:pPr>
                  <w:r>
                    <w:rPr>
                      <w:rFonts w:ascii="仿宋_GB2312" w:hAnsi="仿宋_GB2312" w:cs="仿宋_GB2312" w:eastAsia="仿宋_GB2312"/>
                    </w:rPr>
                    <w:t>1.14</w:t>
                  </w:r>
                </w:p>
              </w:tc>
              <w:tc>
                <w:tcPr>
                  <w:tcW w:type="dxa" w:w="851"/>
                </w:tcPr>
                <w:p>
                  <w:pPr>
                    <w:pStyle w:val="null3"/>
                  </w:pPr>
                  <w:r>
                    <w:rPr>
                      <w:rFonts w:ascii="仿宋_GB2312" w:hAnsi="仿宋_GB2312" w:cs="仿宋_GB2312" w:eastAsia="仿宋_GB2312"/>
                    </w:rPr>
                    <w:t>基层接收</w:t>
                  </w:r>
                </w:p>
              </w:tc>
              <w:tc>
                <w:tcPr>
                  <w:tcW w:type="dxa" w:w="851"/>
                </w:tcPr>
                <w:p>
                  <w:pPr>
                    <w:pStyle w:val="null3"/>
                  </w:pPr>
                  <w:r>
                    <w:rPr>
                      <w:rFonts w:ascii="仿宋_GB2312" w:hAnsi="仿宋_GB2312" w:cs="仿宋_GB2312" w:eastAsia="仿宋_GB2312"/>
                    </w:rPr>
                    <w:t>基层接诊医生可快速查看患者全部信息、诊疗意见及相关资料，实现通过系统电话联系上级发起医生咨询诊疗指导，联系患者确认接诊时间及相关事宜，做好接诊准备；转诊中心跟踪基层接收情况，及时协调解决接收过程中的衔接问题，确保下转患者得到持续规范的诊疗服务，实现下转流程闭环管理。</w:t>
                  </w:r>
                </w:p>
              </w:tc>
            </w:tr>
            <w:tr>
              <w:tc>
                <w:tcPr>
                  <w:tcW w:type="dxa" w:w="851"/>
                </w:tcPr>
                <w:p>
                  <w:pPr>
                    <w:pStyle w:val="null3"/>
                  </w:pPr>
                  <w:r>
                    <w:rPr>
                      <w:rFonts w:ascii="仿宋_GB2312" w:hAnsi="仿宋_GB2312" w:cs="仿宋_GB2312" w:eastAsia="仿宋_GB2312"/>
                    </w:rPr>
                    <w:t>1.15</w:t>
                  </w:r>
                </w:p>
              </w:tc>
              <w:tc>
                <w:tcPr>
                  <w:tcW w:type="dxa" w:w="851"/>
                </w:tcPr>
                <w:p>
                  <w:pPr>
                    <w:pStyle w:val="null3"/>
                  </w:pPr>
                  <w:r>
                    <w:rPr>
                      <w:rFonts w:ascii="仿宋_GB2312" w:hAnsi="仿宋_GB2312" w:cs="仿宋_GB2312" w:eastAsia="仿宋_GB2312"/>
                    </w:rPr>
                    <w:t>进度跟踪</w:t>
                  </w:r>
                </w:p>
              </w:tc>
              <w:tc>
                <w:tcPr>
                  <w:tcW w:type="dxa" w:w="851"/>
                </w:tcPr>
                <w:p>
                  <w:pPr>
                    <w:pStyle w:val="null3"/>
                  </w:pPr>
                  <w:r>
                    <w:rPr>
                      <w:rFonts w:ascii="仿宋_GB2312" w:hAnsi="仿宋_GB2312" w:cs="仿宋_GB2312" w:eastAsia="仿宋_GB2312"/>
                    </w:rPr>
                    <w:t>所有参与转诊流程的人员可实时查看转诊当前进度、所处环节及处理人信息，跟踪全流程关键节点（申请提交、各级审核、科室分配、接诊、住院、下转等），每个节点自动记录处理时间、人员及意见，形成完整流转记录；转诊中心统筹查看所有转诊进度，重点跟踪核心转诊点相关转诊流程，及时协调解决流程中的堵点问题，确保上下转诊衔接无缝。</w:t>
                  </w:r>
                </w:p>
              </w:tc>
            </w:tr>
            <w:tr>
              <w:tc>
                <w:tcPr>
                  <w:tcW w:type="dxa" w:w="851"/>
                </w:tcPr>
                <w:p>
                  <w:pPr>
                    <w:pStyle w:val="null3"/>
                  </w:pPr>
                  <w:r>
                    <w:rPr>
                      <w:rFonts w:ascii="仿宋_GB2312" w:hAnsi="仿宋_GB2312" w:cs="仿宋_GB2312" w:eastAsia="仿宋_GB2312"/>
                    </w:rPr>
                    <w:t>1.16</w:t>
                  </w:r>
                </w:p>
              </w:tc>
              <w:tc>
                <w:tcPr>
                  <w:tcW w:type="dxa" w:w="851"/>
                </w:tcPr>
                <w:p>
                  <w:pPr>
                    <w:pStyle w:val="null3"/>
                  </w:pPr>
                  <w:r>
                    <w:rPr>
                      <w:rFonts w:ascii="仿宋_GB2312" w:hAnsi="仿宋_GB2312" w:cs="仿宋_GB2312" w:eastAsia="仿宋_GB2312"/>
                    </w:rPr>
                    <w:t>数据权限与统计</w:t>
                  </w:r>
                </w:p>
              </w:tc>
              <w:tc>
                <w:tcPr>
                  <w:tcW w:type="dxa" w:w="851"/>
                </w:tcPr>
                <w:p>
                  <w:pPr>
                    <w:pStyle w:val="null3"/>
                  </w:pPr>
                  <w:r>
                    <w:rPr>
                      <w:rFonts w:ascii="仿宋_GB2312" w:hAnsi="仿宋_GB2312" w:cs="仿宋_GB2312" w:eastAsia="仿宋_GB2312"/>
                    </w:rPr>
                    <w:t>转诊中心、医院医务部可查看全部上转、下转数据，重点统计核心转诊点的转诊量、诊疗效率等相关数据；基层医务部仅可查看本院发起的上转数据及分配至本院的下转数据，实现数据精准管控、杜绝越权；实现多维度数据统计，可查看上转、下转数量、趋势、来源/去向占比及联盟内各机构、科室、医生转诊数据，重点统计核心转诊点对转诊工作的支撑作用，为转诊体系优化、流程衔接完善提供数据支撑。</w:t>
                  </w:r>
                </w:p>
              </w:tc>
            </w:tr>
            <w:tr>
              <w:tc>
                <w:tcPr>
                  <w:tcW w:type="dxa" w:w="851"/>
                </w:tcPr>
                <w:p>
                  <w:pPr>
                    <w:pStyle w:val="null3"/>
                  </w:pPr>
                  <w:r>
                    <w:rPr>
                      <w:rFonts w:ascii="仿宋_GB2312" w:hAnsi="仿宋_GB2312" w:cs="仿宋_GB2312" w:eastAsia="仿宋_GB2312"/>
                    </w:rPr>
                    <w:t>1.17</w:t>
                  </w:r>
                </w:p>
              </w:tc>
              <w:tc>
                <w:tcPr>
                  <w:tcW w:type="dxa" w:w="851"/>
                </w:tcPr>
                <w:p>
                  <w:pPr>
                    <w:pStyle w:val="null3"/>
                  </w:pPr>
                  <w:r>
                    <w:rPr>
                      <w:rFonts w:ascii="仿宋_GB2312" w:hAnsi="仿宋_GB2312" w:cs="仿宋_GB2312" w:eastAsia="仿宋_GB2312"/>
                    </w:rPr>
                    <w:t>远程会诊</w:t>
                  </w:r>
                </w:p>
              </w:tc>
              <w:tc>
                <w:tcPr>
                  <w:tcW w:type="dxa" w:w="851"/>
                </w:tcPr>
                <w:p>
                  <w:pPr>
                    <w:pStyle w:val="null3"/>
                  </w:pPr>
                  <w:r>
                    <w:rPr>
                      <w:rFonts w:ascii="仿宋_GB2312" w:hAnsi="仿宋_GB2312" w:cs="仿宋_GB2312" w:eastAsia="仿宋_GB2312"/>
                    </w:rPr>
                    <w:t>服务省、市、区、乡镇、村医疗机构诊室。服务点位需实现实时视频会诊，包含专家会诊、多学科会诊（MDT），可共享患者电子病历、影像资料、检验检查结果，实现在线发言、提问、标注影像；转诊中心统筹安排远程会诊资源，优先调度核心转诊点专家，联动基层医疗机构，切实提升基层诊疗能力。</w:t>
                  </w:r>
                </w:p>
              </w:tc>
            </w:tr>
            <w:tr>
              <w:tc>
                <w:tcPr>
                  <w:tcW w:type="dxa" w:w="851"/>
                </w:tcPr>
                <w:p>
                  <w:pPr>
                    <w:pStyle w:val="null3"/>
                  </w:pPr>
                  <w:r>
                    <w:rPr>
                      <w:rFonts w:ascii="仿宋_GB2312" w:hAnsi="仿宋_GB2312" w:cs="仿宋_GB2312" w:eastAsia="仿宋_GB2312"/>
                    </w:rPr>
                    <w:t>1.18</w:t>
                  </w:r>
                </w:p>
              </w:tc>
              <w:tc>
                <w:tcPr>
                  <w:tcW w:type="dxa" w:w="851"/>
                </w:tcPr>
                <w:p>
                  <w:pPr>
                    <w:pStyle w:val="null3"/>
                  </w:pPr>
                  <w:r>
                    <w:rPr>
                      <w:rFonts w:ascii="仿宋_GB2312" w:hAnsi="仿宋_GB2312" w:cs="仿宋_GB2312" w:eastAsia="仿宋_GB2312"/>
                    </w:rPr>
                    <w:t>远程诊断</w:t>
                  </w:r>
                </w:p>
              </w:tc>
              <w:tc>
                <w:tcPr>
                  <w:tcW w:type="dxa" w:w="851"/>
                </w:tcPr>
                <w:p>
                  <w:pPr>
                    <w:pStyle w:val="null3"/>
                  </w:pPr>
                  <w:r>
                    <w:rPr>
                      <w:rFonts w:ascii="仿宋_GB2312" w:hAnsi="仿宋_GB2312" w:cs="仿宋_GB2312" w:eastAsia="仿宋_GB2312"/>
                    </w:rPr>
                    <w:t>实现基层分享影像资料（CT、MRI、X光等）、心电数据、检验样本信息给上级机构及核心转诊点，上级专业医师及核心转诊点医师在线诊断并生成诊断报告，实时反馈至基层机构，实现“基层检查、上级诊断”；转诊中心负责远程诊断质量管控，统筹核心转诊点诊断资源，提高基层诊断准确率，为基层精准发起上转、规范开展下转承接提供支撑。</w:t>
                  </w:r>
                </w:p>
              </w:tc>
            </w:tr>
            <w:tr>
              <w:tc>
                <w:tcPr>
                  <w:tcW w:type="dxa" w:w="851"/>
                </w:tcPr>
                <w:p>
                  <w:pPr>
                    <w:pStyle w:val="null3"/>
                  </w:pPr>
                  <w:r>
                    <w:rPr>
                      <w:rFonts w:ascii="仿宋_GB2312" w:hAnsi="仿宋_GB2312" w:cs="仿宋_GB2312" w:eastAsia="仿宋_GB2312"/>
                    </w:rPr>
                    <w:t>1.19</w:t>
                  </w:r>
                </w:p>
              </w:tc>
              <w:tc>
                <w:tcPr>
                  <w:tcW w:type="dxa" w:w="851"/>
                </w:tcPr>
                <w:p>
                  <w:pPr>
                    <w:pStyle w:val="null3"/>
                  </w:pPr>
                  <w:r>
                    <w:rPr>
                      <w:rFonts w:ascii="仿宋_GB2312" w:hAnsi="仿宋_GB2312" w:cs="仿宋_GB2312" w:eastAsia="仿宋_GB2312"/>
                    </w:rPr>
                    <w:t>远程查房</w:t>
                  </w:r>
                </w:p>
              </w:tc>
              <w:tc>
                <w:tcPr>
                  <w:tcW w:type="dxa" w:w="851"/>
                </w:tcPr>
                <w:p>
                  <w:pPr>
                    <w:pStyle w:val="null3"/>
                  </w:pPr>
                  <w:r>
                    <w:rPr>
                      <w:rFonts w:ascii="仿宋_GB2312" w:hAnsi="仿宋_GB2312" w:cs="仿宋_GB2312" w:eastAsia="仿宋_GB2312"/>
                    </w:rPr>
                    <w:t>实现核心转诊点专家、上级专家对下级住院患者开展远程查房，在线查看患者病情、病历资料，与下级医师、患者实时沟通，给出诊疗指导意见，记录查房情况并生成查房报告，查房过程可录制、回放；转诊中心统筹安排远程查房计划，推动核心转诊点优质医疗资源下沉，提升基层住院患者诊疗质量。</w:t>
                  </w:r>
                </w:p>
              </w:tc>
            </w:tr>
            <w:tr>
              <w:tc>
                <w:tcPr>
                  <w:tcW w:type="dxa" w:w="851"/>
                </w:tcPr>
                <w:p>
                  <w:pPr>
                    <w:pStyle w:val="null3"/>
                  </w:pPr>
                  <w:r>
                    <w:rPr>
                      <w:rFonts w:ascii="仿宋_GB2312" w:hAnsi="仿宋_GB2312" w:cs="仿宋_GB2312" w:eastAsia="仿宋_GB2312"/>
                    </w:rPr>
                    <w:t>1.20</w:t>
                  </w:r>
                </w:p>
              </w:tc>
              <w:tc>
                <w:tcPr>
                  <w:tcW w:type="dxa" w:w="851"/>
                </w:tcPr>
                <w:p>
                  <w:pPr>
                    <w:pStyle w:val="null3"/>
                  </w:pPr>
                  <w:r>
                    <w:rPr>
                      <w:rFonts w:ascii="仿宋_GB2312" w:hAnsi="仿宋_GB2312" w:cs="仿宋_GB2312" w:eastAsia="仿宋_GB2312"/>
                    </w:rPr>
                    <w:t>远程教学</w:t>
                  </w:r>
                </w:p>
              </w:tc>
              <w:tc>
                <w:tcPr>
                  <w:tcW w:type="dxa" w:w="851"/>
                </w:tcPr>
                <w:p>
                  <w:pPr>
                    <w:pStyle w:val="null3"/>
                  </w:pPr>
                  <w:r>
                    <w:rPr>
                      <w:rFonts w:ascii="仿宋_GB2312" w:hAnsi="仿宋_GB2312" w:cs="仿宋_GB2312" w:eastAsia="仿宋_GB2312"/>
                    </w:rPr>
                    <w:t>实现核心转诊点、省级、市级重点医院向下级机构开展远程培训、学术讲座、病例讨论，可上传培训视频、课件、病例资料，实现在线观看、回放、提问互动，记录培训时长、参与人员、考核成绩等信息，实现培训资料归档、下载；转诊中心统筹管理远程教学工作，以核心转诊点为核心，构建远程培训体系，提升基层医务人员专业能力。</w:t>
                  </w:r>
                </w:p>
              </w:tc>
            </w:tr>
            <w:tr>
              <w:tc>
                <w:tcPr>
                  <w:tcW w:type="dxa" w:w="851"/>
                </w:tcPr>
                <w:p>
                  <w:pPr>
                    <w:pStyle w:val="null3"/>
                  </w:pPr>
                  <w:r>
                    <w:rPr>
                      <w:rFonts w:ascii="仿宋_GB2312" w:hAnsi="仿宋_GB2312" w:cs="仿宋_GB2312" w:eastAsia="仿宋_GB2312"/>
                    </w:rPr>
                    <w:t>1.21</w:t>
                  </w:r>
                </w:p>
              </w:tc>
              <w:tc>
                <w:tcPr>
                  <w:tcW w:type="dxa" w:w="851"/>
                </w:tcPr>
                <w:p>
                  <w:pPr>
                    <w:pStyle w:val="null3"/>
                  </w:pPr>
                  <w:r>
                    <w:rPr>
                      <w:rFonts w:ascii="仿宋_GB2312" w:hAnsi="仿宋_GB2312" w:cs="仿宋_GB2312" w:eastAsia="仿宋_GB2312"/>
                    </w:rPr>
                    <w:t>术前讨论</w:t>
                  </w:r>
                </w:p>
              </w:tc>
              <w:tc>
                <w:tcPr>
                  <w:tcW w:type="dxa" w:w="851"/>
                </w:tcPr>
                <w:p>
                  <w:pPr>
                    <w:pStyle w:val="null3"/>
                  </w:pPr>
                  <w:r>
                    <w:rPr>
                      <w:rFonts w:ascii="仿宋_GB2312" w:hAnsi="仿宋_GB2312" w:cs="仿宋_GB2312" w:eastAsia="仿宋_GB2312"/>
                    </w:rPr>
                    <w:t>可以实现第二天需要手术的患者的个人信息、诊断信息、手术名称和手术医生；还可以根据筛选条件选择符合条件的手术患者；选中某位手术患者，可以进入“患者信息”页面，其中包括“术前讨论”、“重点关注”、“医嘱信息”、“护理项目”、“手术信息”、“检验项目”、“检查项目”和“评估信息”。</w:t>
                  </w:r>
                </w:p>
              </w:tc>
            </w:tr>
            <w:tr>
              <w:tc>
                <w:tcPr>
                  <w:tcW w:type="dxa" w:w="851"/>
                </w:tcPr>
                <w:p>
                  <w:pPr>
                    <w:pStyle w:val="null3"/>
                  </w:pPr>
                  <w:r>
                    <w:rPr>
                      <w:rFonts w:ascii="仿宋_GB2312" w:hAnsi="仿宋_GB2312" w:cs="仿宋_GB2312" w:eastAsia="仿宋_GB2312"/>
                    </w:rPr>
                    <w:t>1.22</w:t>
                  </w:r>
                </w:p>
              </w:tc>
              <w:tc>
                <w:tcPr>
                  <w:tcW w:type="dxa" w:w="851"/>
                </w:tcPr>
                <w:p>
                  <w:pPr>
                    <w:pStyle w:val="null3"/>
                  </w:pPr>
                  <w:r>
                    <w:rPr>
                      <w:rFonts w:ascii="仿宋_GB2312" w:hAnsi="仿宋_GB2312" w:cs="仿宋_GB2312" w:eastAsia="仿宋_GB2312"/>
                    </w:rPr>
                    <w:t>床位一览</w:t>
                  </w:r>
                </w:p>
              </w:tc>
              <w:tc>
                <w:tcPr>
                  <w:tcW w:type="dxa" w:w="851"/>
                </w:tcPr>
                <w:p>
                  <w:pPr>
                    <w:pStyle w:val="null3"/>
                  </w:pPr>
                  <w:r>
                    <w:rPr>
                      <w:rFonts w:ascii="仿宋_GB2312" w:hAnsi="仿宋_GB2312" w:cs="仿宋_GB2312" w:eastAsia="仿宋_GB2312"/>
                    </w:rPr>
                    <w:t>可以根据病情的严重程度和护理等级对患者进行筛选；根据病情的严重程度和护理等级可配置使用不同的卡片色进行区分；详版的患者小卡片除患者基本信息外还包含医保信息、护理等级、医嘱信息、费用信息等；简版的患者小卡片仅显示患者最基本信息、病房号和床号，方便在同一界面显示尽可能多的患者小卡片；相邻病房的小卡片用不同颜色的小标签标识，在视觉上更容易区分不同的病房。</w:t>
                  </w:r>
                </w:p>
              </w:tc>
            </w:tr>
            <w:tr>
              <w:tc>
                <w:tcPr>
                  <w:tcW w:type="dxa" w:w="851"/>
                </w:tcPr>
                <w:p>
                  <w:pPr>
                    <w:pStyle w:val="null3"/>
                  </w:pPr>
                  <w:r>
                    <w:rPr>
                      <w:rFonts w:ascii="仿宋_GB2312" w:hAnsi="仿宋_GB2312" w:cs="仿宋_GB2312" w:eastAsia="仿宋_GB2312"/>
                    </w:rPr>
                    <w:t>1.23</w:t>
                  </w:r>
                </w:p>
              </w:tc>
              <w:tc>
                <w:tcPr>
                  <w:tcW w:type="dxa" w:w="851"/>
                </w:tcPr>
                <w:p>
                  <w:pPr>
                    <w:pStyle w:val="null3"/>
                  </w:pPr>
                  <w:r>
                    <w:rPr>
                      <w:rFonts w:ascii="仿宋_GB2312" w:hAnsi="仿宋_GB2312" w:cs="仿宋_GB2312" w:eastAsia="仿宋_GB2312"/>
                    </w:rPr>
                    <w:t>责任分组</w:t>
                  </w:r>
                </w:p>
              </w:tc>
              <w:tc>
                <w:tcPr>
                  <w:tcW w:type="dxa" w:w="851"/>
                </w:tcPr>
                <w:p>
                  <w:pPr>
                    <w:pStyle w:val="null3"/>
                  </w:pPr>
                  <w:r>
                    <w:rPr>
                      <w:rFonts w:ascii="仿宋_GB2312" w:hAnsi="仿宋_GB2312" w:cs="仿宋_GB2312" w:eastAsia="仿宋_GB2312"/>
                    </w:rPr>
                    <w:t>分组显示医生负责的对应的患者信息，还可以统计该组别下患者的数量；</w:t>
                  </w:r>
                </w:p>
              </w:tc>
            </w:tr>
            <w:tr>
              <w:tc>
                <w:tcPr>
                  <w:tcW w:type="dxa" w:w="851"/>
                </w:tcPr>
                <w:p>
                  <w:pPr>
                    <w:pStyle w:val="null3"/>
                  </w:pPr>
                  <w:r>
                    <w:rPr>
                      <w:rFonts w:ascii="仿宋_GB2312" w:hAnsi="仿宋_GB2312" w:cs="仿宋_GB2312" w:eastAsia="仿宋_GB2312"/>
                    </w:rPr>
                    <w:t>1.24</w:t>
                  </w:r>
                </w:p>
              </w:tc>
              <w:tc>
                <w:tcPr>
                  <w:tcW w:type="dxa" w:w="851"/>
                </w:tcPr>
                <w:p>
                  <w:pPr>
                    <w:pStyle w:val="null3"/>
                  </w:pPr>
                  <w:r>
                    <w:rPr>
                      <w:rFonts w:ascii="仿宋_GB2312" w:hAnsi="仿宋_GB2312" w:cs="仿宋_GB2312" w:eastAsia="仿宋_GB2312"/>
                    </w:rPr>
                    <w:t>（晨会）交班</w:t>
                  </w:r>
                </w:p>
              </w:tc>
              <w:tc>
                <w:tcPr>
                  <w:tcW w:type="dxa" w:w="851"/>
                </w:tcPr>
                <w:p>
                  <w:pPr>
                    <w:pStyle w:val="null3"/>
                  </w:pPr>
                  <w:r>
                    <w:rPr>
                      <w:rFonts w:ascii="仿宋_GB2312" w:hAnsi="仿宋_GB2312" w:cs="仿宋_GB2312" w:eastAsia="仿宋_GB2312"/>
                    </w:rPr>
                    <w:t>可以按照患者状态分类进行快速定位，还可以根据时间查看其他班次；系统自动统计该科室各种类别的数据，如新入、转出等，并在页面最上方的重点统计中显示；显示该科室的交班报告，包括患者的床位、诊断、手术等信息，交班报告由后台生成。</w:t>
                  </w:r>
                </w:p>
              </w:tc>
            </w:tr>
            <w:tr>
              <w:tc>
                <w:tcPr>
                  <w:tcW w:type="dxa" w:w="851"/>
                </w:tcPr>
                <w:p>
                  <w:pPr>
                    <w:pStyle w:val="null3"/>
                  </w:pPr>
                  <w:r>
                    <w:rPr>
                      <w:rFonts w:ascii="仿宋_GB2312" w:hAnsi="仿宋_GB2312" w:cs="仿宋_GB2312" w:eastAsia="仿宋_GB2312"/>
                    </w:rPr>
                    <w:t>1.25</w:t>
                  </w:r>
                </w:p>
              </w:tc>
              <w:tc>
                <w:tcPr>
                  <w:tcW w:type="dxa" w:w="851"/>
                </w:tcPr>
                <w:p>
                  <w:pPr>
                    <w:pStyle w:val="null3"/>
                  </w:pPr>
                  <w:r>
                    <w:rPr>
                      <w:rFonts w:ascii="仿宋_GB2312" w:hAnsi="仿宋_GB2312" w:cs="仿宋_GB2312" w:eastAsia="仿宋_GB2312"/>
                    </w:rPr>
                    <w:t>排班</w:t>
                  </w:r>
                </w:p>
              </w:tc>
              <w:tc>
                <w:tcPr>
                  <w:tcW w:type="dxa" w:w="851"/>
                </w:tcPr>
                <w:p>
                  <w:pPr>
                    <w:pStyle w:val="null3"/>
                  </w:pPr>
                  <w:r>
                    <w:rPr>
                      <w:rFonts w:ascii="仿宋_GB2312" w:hAnsi="仿宋_GB2312" w:cs="仿宋_GB2312" w:eastAsia="仿宋_GB2312"/>
                    </w:rPr>
                    <w:t>可以选择指定时间查看当日排班和一周排班情况；“今日排班”可以查看各个班次下人员的安排情况，“一周排班”可以直接看到每个人一周的班次安排情况。</w:t>
                  </w:r>
                </w:p>
              </w:tc>
            </w:tr>
            <w:tr>
              <w:tc>
                <w:tcPr>
                  <w:tcW w:type="dxa" w:w="851"/>
                </w:tcPr>
                <w:p>
                  <w:pPr>
                    <w:pStyle w:val="null3"/>
                  </w:pPr>
                  <w:r>
                    <w:rPr>
                      <w:rFonts w:ascii="仿宋_GB2312" w:hAnsi="仿宋_GB2312" w:cs="仿宋_GB2312" w:eastAsia="仿宋_GB2312"/>
                    </w:rPr>
                    <w:t>1.26</w:t>
                  </w:r>
                </w:p>
              </w:tc>
              <w:tc>
                <w:tcPr>
                  <w:tcW w:type="dxa" w:w="851"/>
                </w:tcPr>
                <w:p>
                  <w:pPr>
                    <w:pStyle w:val="null3"/>
                  </w:pPr>
                  <w:r>
                    <w:rPr>
                      <w:rFonts w:ascii="仿宋_GB2312" w:hAnsi="仿宋_GB2312" w:cs="仿宋_GB2312" w:eastAsia="仿宋_GB2312"/>
                    </w:rPr>
                    <w:t>值班</w:t>
                  </w:r>
                </w:p>
              </w:tc>
              <w:tc>
                <w:tcPr>
                  <w:tcW w:type="dxa" w:w="851"/>
                </w:tcPr>
                <w:p>
                  <w:pPr>
                    <w:pStyle w:val="null3"/>
                  </w:pPr>
                  <w:r>
                    <w:rPr>
                      <w:rFonts w:ascii="仿宋_GB2312" w:hAnsi="仿宋_GB2312" w:cs="仿宋_GB2312" w:eastAsia="仿宋_GB2312"/>
                    </w:rPr>
                    <w:t>可以同时显示住院部一周内每一天各个科室的值班人员；可在后台管理端对值班人员进行修改。</w:t>
                  </w:r>
                </w:p>
              </w:tc>
            </w:tr>
            <w:tr>
              <w:tc>
                <w:tcPr>
                  <w:tcW w:type="dxa" w:w="851"/>
                </w:tcPr>
                <w:p>
                  <w:pPr>
                    <w:pStyle w:val="null3"/>
                  </w:pPr>
                  <w:r>
                    <w:rPr>
                      <w:rFonts w:ascii="仿宋_GB2312" w:hAnsi="仿宋_GB2312" w:cs="仿宋_GB2312" w:eastAsia="仿宋_GB2312"/>
                    </w:rPr>
                    <w:t>1.27</w:t>
                  </w:r>
                </w:p>
              </w:tc>
              <w:tc>
                <w:tcPr>
                  <w:tcW w:type="dxa" w:w="851"/>
                </w:tcPr>
                <w:p>
                  <w:pPr>
                    <w:pStyle w:val="null3"/>
                  </w:pPr>
                  <w:r>
                    <w:rPr>
                      <w:rFonts w:ascii="仿宋_GB2312" w:hAnsi="仿宋_GB2312" w:cs="仿宋_GB2312" w:eastAsia="仿宋_GB2312"/>
                    </w:rPr>
                    <w:t>全科检验</w:t>
                  </w:r>
                </w:p>
              </w:tc>
              <w:tc>
                <w:tcPr>
                  <w:tcW w:type="dxa" w:w="851"/>
                </w:tcPr>
                <w:p>
                  <w:pPr>
                    <w:pStyle w:val="null3"/>
                  </w:pPr>
                  <w:r>
                    <w:rPr>
                      <w:rFonts w:ascii="仿宋_GB2312" w:hAnsi="仿宋_GB2312" w:cs="仿宋_GB2312" w:eastAsia="仿宋_GB2312"/>
                    </w:rPr>
                    <w:t>显示患者的化验项目、负责的医生和护士、采集时间和完成状态等信息；可以根据完成状态、申请医生和检验项目等筛选条件选择符合条件患者，集中查看对应患者的检验信息；点击某位患者的数据可以进入“患者信息”页面，在“检验项目”中对于已检验的项目可以直接查看检验结果；对有历史数据的数值型检验项目展示折线图。</w:t>
                  </w:r>
                </w:p>
              </w:tc>
            </w:tr>
            <w:tr>
              <w:tc>
                <w:tcPr>
                  <w:tcW w:type="dxa" w:w="851"/>
                </w:tcPr>
                <w:p>
                  <w:pPr>
                    <w:pStyle w:val="null3"/>
                  </w:pPr>
                  <w:r>
                    <w:rPr>
                      <w:rFonts w:ascii="仿宋_GB2312" w:hAnsi="仿宋_GB2312" w:cs="仿宋_GB2312" w:eastAsia="仿宋_GB2312"/>
                    </w:rPr>
                    <w:t>1.28</w:t>
                  </w:r>
                </w:p>
              </w:tc>
              <w:tc>
                <w:tcPr>
                  <w:tcW w:type="dxa" w:w="851"/>
                </w:tcPr>
                <w:p>
                  <w:pPr>
                    <w:pStyle w:val="null3"/>
                  </w:pPr>
                  <w:r>
                    <w:rPr>
                      <w:rFonts w:ascii="仿宋_GB2312" w:hAnsi="仿宋_GB2312" w:cs="仿宋_GB2312" w:eastAsia="仿宋_GB2312"/>
                    </w:rPr>
                    <w:t>全科检查</w:t>
                  </w:r>
                </w:p>
              </w:tc>
              <w:tc>
                <w:tcPr>
                  <w:tcW w:type="dxa" w:w="851"/>
                </w:tcPr>
                <w:p>
                  <w:pPr>
                    <w:pStyle w:val="null3"/>
                  </w:pPr>
                  <w:r>
                    <w:rPr>
                      <w:rFonts w:ascii="仿宋_GB2312" w:hAnsi="仿宋_GB2312" w:cs="仿宋_GB2312" w:eastAsia="仿宋_GB2312"/>
                    </w:rPr>
                    <w:t>显示患者的检查项目、申请人和检查人、检查时间和完成状态等信息；可以根据完成状态、申请医生和检查项目等筛选条件选择符合条件患者，集中查看对应患者的检查信息；点击某位患者的数据可以进入“患者信息”页面，在“检查项目”中对于已检查的项目可以直接查看检查结果。</w:t>
                  </w:r>
                </w:p>
              </w:tc>
            </w:tr>
            <w:tr>
              <w:tc>
                <w:tcPr>
                  <w:tcW w:type="dxa" w:w="851"/>
                </w:tcPr>
                <w:p>
                  <w:pPr>
                    <w:pStyle w:val="null3"/>
                  </w:pPr>
                  <w:r>
                    <w:rPr>
                      <w:rFonts w:ascii="仿宋_GB2312" w:hAnsi="仿宋_GB2312" w:cs="仿宋_GB2312" w:eastAsia="仿宋_GB2312"/>
                    </w:rPr>
                    <w:t>1.29</w:t>
                  </w:r>
                </w:p>
              </w:tc>
              <w:tc>
                <w:tcPr>
                  <w:tcW w:type="dxa" w:w="851"/>
                </w:tcPr>
                <w:p>
                  <w:pPr>
                    <w:pStyle w:val="null3"/>
                  </w:pPr>
                  <w:r>
                    <w:rPr>
                      <w:rFonts w:ascii="仿宋_GB2312" w:hAnsi="仿宋_GB2312" w:cs="仿宋_GB2312" w:eastAsia="仿宋_GB2312"/>
                    </w:rPr>
                    <w:t>全科高危</w:t>
                  </w:r>
                </w:p>
              </w:tc>
              <w:tc>
                <w:tcPr>
                  <w:tcW w:type="dxa" w:w="851"/>
                </w:tcPr>
                <w:p>
                  <w:pPr>
                    <w:pStyle w:val="null3"/>
                  </w:pPr>
                  <w:r>
                    <w:rPr>
                      <w:rFonts w:ascii="仿宋_GB2312" w:hAnsi="仿宋_GB2312" w:cs="仿宋_GB2312" w:eastAsia="仿宋_GB2312"/>
                    </w:rPr>
                    <w:t>可以根据危急项目、年龄和性别等筛选条件选择符合条件患者，集中查看对应患者的危急项目和危急值。</w:t>
                  </w:r>
                </w:p>
              </w:tc>
            </w:tr>
            <w:tr>
              <w:tc>
                <w:tcPr>
                  <w:tcW w:type="dxa" w:w="851"/>
                </w:tcPr>
                <w:p>
                  <w:pPr>
                    <w:pStyle w:val="null3"/>
                  </w:pPr>
                  <w:r>
                    <w:rPr>
                      <w:rFonts w:ascii="仿宋_GB2312" w:hAnsi="仿宋_GB2312" w:cs="仿宋_GB2312" w:eastAsia="仿宋_GB2312"/>
                    </w:rPr>
                    <w:t>1.30</w:t>
                  </w:r>
                </w:p>
              </w:tc>
              <w:tc>
                <w:tcPr>
                  <w:tcW w:type="dxa" w:w="851"/>
                </w:tcPr>
                <w:p>
                  <w:pPr>
                    <w:pStyle w:val="null3"/>
                  </w:pPr>
                  <w:r>
                    <w:rPr>
                      <w:rFonts w:ascii="仿宋_GB2312" w:hAnsi="仿宋_GB2312" w:cs="仿宋_GB2312" w:eastAsia="仿宋_GB2312"/>
                    </w:rPr>
                    <w:t>示教培训</w:t>
                  </w:r>
                </w:p>
              </w:tc>
              <w:tc>
                <w:tcPr>
                  <w:tcW w:type="dxa" w:w="851"/>
                </w:tcPr>
                <w:p>
                  <w:pPr>
                    <w:pStyle w:val="null3"/>
                  </w:pPr>
                  <w:r>
                    <w:rPr>
                      <w:rFonts w:ascii="仿宋_GB2312" w:hAnsi="仿宋_GB2312" w:cs="仿宋_GB2312" w:eastAsia="仿宋_GB2312"/>
                    </w:rPr>
                    <w:t>用于培训宣教展示文件或视频，文件和视频需要提前在后台管理端上传，也可以扫描下方二维码上传文件。</w:t>
                  </w:r>
                </w:p>
              </w:tc>
            </w:tr>
            <w:tr>
              <w:tc>
                <w:tcPr>
                  <w:tcW w:type="dxa" w:w="851"/>
                </w:tcPr>
                <w:p>
                  <w:pPr>
                    <w:pStyle w:val="null3"/>
                  </w:pPr>
                  <w:r>
                    <w:rPr>
                      <w:rFonts w:ascii="仿宋_GB2312" w:hAnsi="仿宋_GB2312" w:cs="仿宋_GB2312" w:eastAsia="仿宋_GB2312"/>
                    </w:rPr>
                    <w:t>1.31</w:t>
                  </w:r>
                </w:p>
              </w:tc>
              <w:tc>
                <w:tcPr>
                  <w:tcW w:type="dxa" w:w="851"/>
                </w:tcPr>
                <w:p>
                  <w:pPr>
                    <w:pStyle w:val="null3"/>
                  </w:pPr>
                  <w:r>
                    <w:rPr>
                      <w:rFonts w:ascii="仿宋_GB2312" w:hAnsi="仿宋_GB2312" w:cs="仿宋_GB2312" w:eastAsia="仿宋_GB2312"/>
                    </w:rPr>
                    <w:t>白板</w:t>
                  </w:r>
                </w:p>
              </w:tc>
              <w:tc>
                <w:tcPr>
                  <w:tcW w:type="dxa" w:w="851"/>
                </w:tcPr>
                <w:p>
                  <w:pPr>
                    <w:pStyle w:val="null3"/>
                  </w:pPr>
                  <w:r>
                    <w:rPr>
                      <w:rFonts w:ascii="仿宋_GB2312" w:hAnsi="仿宋_GB2312" w:cs="仿宋_GB2312" w:eastAsia="仿宋_GB2312"/>
                    </w:rPr>
                    <w:t>可以用作会议记录和讲解，记录可以被保存下来方便后期调出历史查看记录。可以使用大屏触控绘制信息。底部可以修改画笔的颜色和样式，可以进行撤销和清除操作。</w:t>
                  </w:r>
                </w:p>
              </w:tc>
            </w:tr>
            <w:tr>
              <w:tc>
                <w:tcPr>
                  <w:tcW w:type="dxa" w:w="851"/>
                </w:tcPr>
                <w:p>
                  <w:pPr>
                    <w:pStyle w:val="null3"/>
                  </w:pPr>
                  <w:r>
                    <w:rPr>
                      <w:rFonts w:ascii="仿宋_GB2312" w:hAnsi="仿宋_GB2312" w:cs="仿宋_GB2312" w:eastAsia="仿宋_GB2312"/>
                    </w:rPr>
                    <w:t>1.32</w:t>
                  </w:r>
                </w:p>
              </w:tc>
              <w:tc>
                <w:tcPr>
                  <w:tcW w:type="dxa" w:w="851"/>
                </w:tcPr>
                <w:p>
                  <w:pPr>
                    <w:pStyle w:val="null3"/>
                  </w:pPr>
                  <w:r>
                    <w:rPr>
                      <w:rFonts w:ascii="仿宋_GB2312" w:hAnsi="仿宋_GB2312" w:cs="仿宋_GB2312" w:eastAsia="仿宋_GB2312"/>
                    </w:rPr>
                    <w:t>备忘录</w:t>
                  </w:r>
                </w:p>
              </w:tc>
              <w:tc>
                <w:tcPr>
                  <w:tcW w:type="dxa" w:w="851"/>
                </w:tcPr>
                <w:p>
                  <w:pPr>
                    <w:pStyle w:val="null3"/>
                  </w:pPr>
                  <w:r>
                    <w:rPr>
                      <w:rFonts w:ascii="仿宋_GB2312" w:hAnsi="仿宋_GB2312" w:cs="仿宋_GB2312" w:eastAsia="仿宋_GB2312"/>
                    </w:rPr>
                    <w:t>实现在大屏端直接添加便签备忘录信息;实现从后台管理添加备忘信息，操作简单便捷。</w:t>
                  </w:r>
                </w:p>
              </w:tc>
            </w:tr>
            <w:tr>
              <w:tc>
                <w:tcPr>
                  <w:tcW w:type="dxa" w:w="851"/>
                </w:tcPr>
                <w:p>
                  <w:pPr>
                    <w:pStyle w:val="null3"/>
                  </w:pPr>
                  <w:r>
                    <w:rPr>
                      <w:rFonts w:ascii="仿宋_GB2312" w:hAnsi="仿宋_GB2312" w:cs="仿宋_GB2312" w:eastAsia="仿宋_GB2312"/>
                    </w:rPr>
                    <w:t>1.33</w:t>
                  </w:r>
                </w:p>
              </w:tc>
              <w:tc>
                <w:tcPr>
                  <w:tcW w:type="dxa" w:w="851"/>
                </w:tcPr>
                <w:p>
                  <w:pPr>
                    <w:pStyle w:val="null3"/>
                  </w:pPr>
                  <w:r>
                    <w:rPr>
                      <w:rFonts w:ascii="仿宋_GB2312" w:hAnsi="仿宋_GB2312" w:cs="仿宋_GB2312" w:eastAsia="仿宋_GB2312"/>
                    </w:rPr>
                    <w:t>院内MDT</w:t>
                  </w:r>
                </w:p>
              </w:tc>
              <w:tc>
                <w:tcPr>
                  <w:tcW w:type="dxa" w:w="851"/>
                </w:tcPr>
                <w:p>
                  <w:pPr>
                    <w:pStyle w:val="null3"/>
                  </w:pPr>
                  <w:r>
                    <w:rPr>
                      <w:rFonts w:ascii="仿宋_GB2312" w:hAnsi="仿宋_GB2312" w:cs="仿宋_GB2312" w:eastAsia="仿宋_GB2312"/>
                    </w:rPr>
                    <w:t>实现科室发起会诊申请；查看本科室收到的会诊申请；接收科室可查看会诊患者的电子病历、检验检查信息；</w:t>
                  </w:r>
                </w:p>
              </w:tc>
            </w:tr>
            <w:tr>
              <w:tc>
                <w:tcPr>
                  <w:tcW w:type="dxa" w:w="851"/>
                </w:tcPr>
                <w:p>
                  <w:pPr>
                    <w:pStyle w:val="null3"/>
                  </w:pPr>
                  <w:r>
                    <w:rPr>
                      <w:rFonts w:ascii="仿宋_GB2312" w:hAnsi="仿宋_GB2312" w:cs="仿宋_GB2312" w:eastAsia="仿宋_GB2312"/>
                    </w:rPr>
                    <w:t>1.34</w:t>
                  </w:r>
                </w:p>
              </w:tc>
              <w:tc>
                <w:tcPr>
                  <w:tcW w:type="dxa" w:w="851"/>
                </w:tcPr>
                <w:p>
                  <w:pPr>
                    <w:pStyle w:val="null3"/>
                  </w:pPr>
                  <w:r>
                    <w:rPr>
                      <w:rFonts w:ascii="仿宋_GB2312" w:hAnsi="仿宋_GB2312" w:cs="仿宋_GB2312" w:eastAsia="仿宋_GB2312"/>
                    </w:rPr>
                    <w:t>辅助功能</w:t>
                  </w:r>
                </w:p>
              </w:tc>
              <w:tc>
                <w:tcPr>
                  <w:tcW w:type="dxa" w:w="851"/>
                </w:tcPr>
                <w:p>
                  <w:pPr>
                    <w:pStyle w:val="null3"/>
                  </w:pPr>
                  <w:r>
                    <w:rPr>
                      <w:rFonts w:ascii="仿宋_GB2312" w:hAnsi="仿宋_GB2312" w:cs="仿宋_GB2312" w:eastAsia="仿宋_GB2312"/>
                    </w:rPr>
                    <w:t>系统配置不低于六种肤色，可以根据使用场景进行切换；系统配置不低于六幅风景图可更换为背景图片。</w:t>
                  </w:r>
                </w:p>
              </w:tc>
            </w:tr>
            <w:tr>
              <w:tc>
                <w:tcPr>
                  <w:tcW w:type="dxa" w:w="851"/>
                </w:tcPr>
                <w:p>
                  <w:pPr>
                    <w:pStyle w:val="null3"/>
                  </w:pPr>
                  <w:r>
                    <w:rPr>
                      <w:rFonts w:ascii="仿宋_GB2312" w:hAnsi="仿宋_GB2312" w:cs="仿宋_GB2312" w:eastAsia="仿宋_GB2312"/>
                    </w:rPr>
                    <w:t>1.35</w:t>
                  </w:r>
                </w:p>
              </w:tc>
              <w:tc>
                <w:tcPr>
                  <w:tcW w:type="dxa" w:w="851"/>
                </w:tcPr>
                <w:p>
                  <w:pPr>
                    <w:pStyle w:val="null3"/>
                  </w:pPr>
                  <w:r>
                    <w:rPr>
                      <w:rFonts w:ascii="仿宋_GB2312" w:hAnsi="仿宋_GB2312" w:cs="仿宋_GB2312" w:eastAsia="仿宋_GB2312"/>
                    </w:rPr>
                    <w:t>高级软件界面交互</w:t>
                  </w:r>
                </w:p>
              </w:tc>
              <w:tc>
                <w:tcPr>
                  <w:tcW w:type="dxa" w:w="851"/>
                </w:tcPr>
                <w:p>
                  <w:pPr>
                    <w:pStyle w:val="null3"/>
                  </w:pPr>
                  <w:r>
                    <w:rPr>
                      <w:rFonts w:ascii="仿宋_GB2312" w:hAnsi="仿宋_GB2312" w:cs="仿宋_GB2312" w:eastAsia="仿宋_GB2312"/>
                    </w:rPr>
                    <w:t>实现换肤：实现夜间模式，及适配不同科室风格的界面配色方案。系统实现多点触控手势滑动控制，如可快速切换/关闭子界面，提升用户交互效率。</w:t>
                  </w:r>
                </w:p>
              </w:tc>
            </w:tr>
            <w:tr>
              <w:tc>
                <w:tcPr>
                  <w:tcW w:type="dxa" w:w="851"/>
                </w:tcPr>
                <w:p>
                  <w:pPr>
                    <w:pStyle w:val="null3"/>
                  </w:pPr>
                  <w:r>
                    <w:rPr>
                      <w:rFonts w:ascii="仿宋_GB2312" w:hAnsi="仿宋_GB2312" w:cs="仿宋_GB2312" w:eastAsia="仿宋_GB2312"/>
                    </w:rPr>
                    <w:t>1.36</w:t>
                  </w:r>
                </w:p>
              </w:tc>
              <w:tc>
                <w:tcPr>
                  <w:tcW w:type="dxa" w:w="851"/>
                </w:tcPr>
                <w:p>
                  <w:pPr>
                    <w:pStyle w:val="null3"/>
                  </w:pPr>
                  <w:r>
                    <w:rPr>
                      <w:rFonts w:ascii="仿宋_GB2312" w:hAnsi="仿宋_GB2312" w:cs="仿宋_GB2312" w:eastAsia="仿宋_GB2312"/>
                    </w:rPr>
                    <w:t>快捷菜单</w:t>
                  </w:r>
                </w:p>
              </w:tc>
              <w:tc>
                <w:tcPr>
                  <w:tcW w:type="dxa" w:w="851"/>
                </w:tcPr>
                <w:p>
                  <w:pPr>
                    <w:pStyle w:val="null3"/>
                  </w:pPr>
                  <w:r>
                    <w:rPr>
                      <w:rFonts w:ascii="仿宋_GB2312" w:hAnsi="仿宋_GB2312" w:cs="仿宋_GB2312" w:eastAsia="仿宋_GB2312"/>
                    </w:rPr>
                    <w:t>实现在界面上设置快捷菜单，一键式跳转目标功能，简单快捷。</w:t>
                  </w:r>
                </w:p>
              </w:tc>
            </w:tr>
            <w:tr>
              <w:tc>
                <w:tcPr>
                  <w:tcW w:type="dxa" w:w="851"/>
                </w:tcPr>
                <w:p>
                  <w:pPr>
                    <w:pStyle w:val="null3"/>
                  </w:pPr>
                  <w:r>
                    <w:rPr>
                      <w:rFonts w:ascii="仿宋_GB2312" w:hAnsi="仿宋_GB2312" w:cs="仿宋_GB2312" w:eastAsia="仿宋_GB2312"/>
                    </w:rPr>
                    <w:t>1.37</w:t>
                  </w:r>
                </w:p>
              </w:tc>
              <w:tc>
                <w:tcPr>
                  <w:tcW w:type="dxa" w:w="851"/>
                </w:tcPr>
                <w:p>
                  <w:pPr>
                    <w:pStyle w:val="null3"/>
                  </w:pPr>
                  <w:r>
                    <w:rPr>
                      <w:rFonts w:ascii="仿宋_GB2312" w:hAnsi="仿宋_GB2312" w:cs="仿宋_GB2312" w:eastAsia="仿宋_GB2312"/>
                    </w:rPr>
                    <w:t>内容</w:t>
                  </w:r>
                </w:p>
              </w:tc>
              <w:tc>
                <w:tcPr>
                  <w:tcW w:type="dxa" w:w="851"/>
                </w:tcPr>
                <w:p>
                  <w:pPr>
                    <w:pStyle w:val="null3"/>
                  </w:pPr>
                  <w:r>
                    <w:rPr>
                      <w:rFonts w:ascii="仿宋_GB2312" w:hAnsi="仿宋_GB2312" w:cs="仿宋_GB2312" w:eastAsia="仿宋_GB2312"/>
                    </w:rPr>
                    <w:t>内容有综合后台管理系统和界面，实现统一的后台配置管理入口，实现多用户、不同角色的管理用户和权限管理；实现对医院各个科室的大屏进行功能、模块、内容的配置和管理，以及对系统的自身的参数设定等。</w:t>
                  </w:r>
                </w:p>
              </w:tc>
            </w:tr>
            <w:tr>
              <w:tc>
                <w:tcPr>
                  <w:tcW w:type="dxa" w:w="851"/>
                  <w:vMerge w:val="restart"/>
                </w:tcPr>
                <w:p>
                  <w:pPr>
                    <w:pStyle w:val="null3"/>
                  </w:pPr>
                  <w:r>
                    <w:rPr>
                      <w:rFonts w:ascii="仿宋_GB2312" w:hAnsi="仿宋_GB2312" w:cs="仿宋_GB2312" w:eastAsia="仿宋_GB2312"/>
                    </w:rPr>
                    <w:t>2</w:t>
                  </w:r>
                </w:p>
              </w:tc>
              <w:tc>
                <w:tcPr>
                  <w:tcW w:type="dxa" w:w="851"/>
                  <w:vMerge w:val="restart"/>
                </w:tcPr>
                <w:p>
                  <w:pPr>
                    <w:pStyle w:val="null3"/>
                  </w:pPr>
                  <w:r>
                    <w:rPr>
                      <w:rFonts w:ascii="仿宋_GB2312" w:hAnsi="仿宋_GB2312" w:cs="仿宋_GB2312" w:eastAsia="仿宋_GB2312"/>
                    </w:rPr>
                    <w:t>售后要求</w:t>
                  </w:r>
                </w:p>
              </w:tc>
              <w:tc>
                <w:tcPr>
                  <w:tcW w:type="dxa" w:w="851"/>
                </w:tcPr>
                <w:p>
                  <w:pPr>
                    <w:pStyle w:val="null3"/>
                  </w:pPr>
                  <w:r>
                    <w:rPr>
                      <w:rFonts w:ascii="仿宋_GB2312" w:hAnsi="仿宋_GB2312" w:cs="仿宋_GB2312" w:eastAsia="仿宋_GB2312"/>
                    </w:rPr>
                    <w:t>2.1有故障时，中标方必须在1小时响应，接到故障报告后在4小时内中标方工作人员到达现场，排除故障的期限不得超过24小时。</w:t>
                  </w:r>
                </w:p>
              </w:tc>
            </w:tr>
            <w:tr>
              <w:tc>
                <w:tcPr>
                  <w:tcW w:type="dxa" w:w="851"/>
                  <w:vMerge/>
                </w:tcPr>
                <w:p/>
              </w:tc>
              <w:tc>
                <w:tcPr>
                  <w:tcW w:type="dxa" w:w="851"/>
                  <w:vMerge/>
                </w:tcPr>
                <w:p/>
              </w:tc>
              <w:tc>
                <w:tcPr>
                  <w:tcW w:type="dxa" w:w="851"/>
                </w:tcPr>
                <w:p>
                  <w:pPr>
                    <w:pStyle w:val="null3"/>
                  </w:pPr>
                  <w:r>
                    <w:rPr>
                      <w:rFonts w:ascii="仿宋_GB2312" w:hAnsi="仿宋_GB2312" w:cs="仿宋_GB2312" w:eastAsia="仿宋_GB2312"/>
                    </w:rPr>
                    <w:t>2.2包含所有接口对接费用。</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三、其它服务要求</w:t>
            </w:r>
          </w:p>
          <w:p>
            <w:pPr>
              <w:pStyle w:val="null3"/>
            </w:pPr>
            <w:r>
              <w:rPr>
                <w:rFonts w:ascii="仿宋_GB2312" w:hAnsi="仿宋_GB2312" w:cs="仿宋_GB2312" w:eastAsia="仿宋_GB2312"/>
              </w:rPr>
              <w:t>免费维护年限5年，点位40个</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转会诊与远程医疗平台系统要求对HIS等医院其他信息系统的数据对接，投标人报价包含本项目实施过程中所有接口费用，实施过程中招标人不再支付接口费用。</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（1）有故障时，中标方必须在1小时响应，接到故障报告后在4小时内中标方工作人员到达现场，排除故障的期限不得超过24小时。 （2）免费维护年限不少于5年，点位40个。</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合同签订之日起三个月内完成验收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1.乙方完成项目内容后，向甲方提出验收申请，甲方接到乙方验收申请后组织验收（必要时可聘请相应专家或委 托相应部门验收），验收合格后，出具使用验收合格证明。 2.最终验收：最终验收结果作为付款依据，乙方填写验收单，并向甲方提交实施过程中的所有资料，以便甲方日后管理和维护。 3.免费运维期期满后：由乙方出具免费运维期运行质量报告，若存在质量问题，应按相应规定协商处理。 4.验收依据： 4-1 合同文本、合同附件、招标文件、投标文件。 4-2 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项目设计开发服务完成后，系统交付甲方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系统经甲方验收合格投入使用后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1.按《中华人民共和国民法典》中的相关条款执行。2.乙方履约延误：2-1 如乙方事先未征得甲方同意并得到甲方的谅解而单方面延迟执行合同，将按违约终止合同。2-2 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政府采购法的有关规定进行相应的处罚。4.凡因本合同引起的或与本合同有关的争议，双方应友好协商解决。协商不成时，甲、乙双方均同意向（甲方所在地人民法院）提起诉讼。 5、本合同履行过程中，如因乙方违约，甲方提起诉讼的，乙方应当承担甲方为实现权利而产生的费用，包括但不限于诉讼费、律师费、鉴定费、评估费等费用。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投标人需在项目电子化交易系统中按要求填写《投标函》完成承诺及《投标人应提供的资格证明文件》并进行电子签章。</w:t>
            </w:r>
          </w:p>
        </w:tc>
        <w:tc>
          <w:tcPr>
            <w:tcW w:type="dxa" w:w="1661"/>
          </w:tcPr>
          <w:p>
            <w:pPr>
              <w:pStyle w:val="null3"/>
            </w:pPr>
            <w:r>
              <w:rPr>
                <w:rFonts w:ascii="仿宋_GB2312" w:hAnsi="仿宋_GB2312" w:cs="仿宋_GB2312" w:eastAsia="仿宋_GB2312"/>
              </w:rPr>
              <w:t>投标人应提供的资格证明文件.docx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投标人应提供的资格证明文件.docx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投标人应提供的资格证明文件.docx 业绩.docx 投标函 中小企业声明函 残疾人福利性单位声明函 服务方案 标的清单 投标文件封面 服务内容偏离表.docx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要求中1.1-1.37共37项技术要求，每完全满足或优于1项技术要求得0.5分，不满足得0分，满分18.5分。注：如项目需求中“技术参数与性能指标”中有明确要求提供的证明资料，则以项目需求中“技术参数与性能指标”中要求的为准，并建议对相关证明项进行标注（如标注红色方框并写明对应参数的序号），未提供或未按要求提供证明材料的不得分；如项目需求中“技术参数与性能指标”中无明确证明材料的，以投标人投标文件中的相关软件功能说明及截图等技术资料为准，未提供相关资料或技术偏离表中未响应的视为负偏离不满足本项技术要求不得分。</w:t>
            </w:r>
          </w:p>
        </w:tc>
        <w:tc>
          <w:tcPr>
            <w:tcW w:type="dxa" w:w="831"/>
          </w:tcPr>
          <w:p>
            <w:pPr>
              <w:pStyle w:val="null3"/>
              <w:jc w:val="right"/>
            </w:pPr>
            <w:r>
              <w:rPr>
                <w:rFonts w:ascii="仿宋_GB2312" w:hAnsi="仿宋_GB2312" w:cs="仿宋_GB2312" w:eastAsia="仿宋_GB2312"/>
              </w:rPr>
              <w:t>18.5000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投标人需提供自2023年1月1日以来（以合同签订日期或中标（成交）通知书发放日期为准，若同时提供则以合同签订时间为准）的类似项目业绩，每个业绩得2.5分，最高得5分。 注：投标人需提供合同复印件或中标（成交）通知书，合同或通知书内容无法体现项目服务内容的可另行提供业主验收单等证明材料作为辅证材料。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服务进度安排</w:t>
            </w:r>
          </w:p>
        </w:tc>
        <w:tc>
          <w:tcPr>
            <w:tcW w:type="dxa" w:w="2492"/>
          </w:tcPr>
          <w:p>
            <w:pPr>
              <w:pStyle w:val="null3"/>
            </w:pPr>
            <w:r>
              <w:rPr>
                <w:rFonts w:ascii="仿宋_GB2312" w:hAnsi="仿宋_GB2312" w:cs="仿宋_GB2312" w:eastAsia="仿宋_GB2312"/>
              </w:rPr>
              <w:t>投标人需提供服务进度安排方案，包含但不限于服务计划、时间节点安排、技术路线、任务分解等内容。服务进度方案内容完整，其中技术路线明确，服务计划、时间节点安排及任务分解明确且确实可行，对本项目针对性强得10分；服务进度方案内容完整，技术路线明确，服务计划、时间节点安排及任务分解较合理，方案基本无缺陷得8分；服务进度方案内容包含服务计划、时间节点安排、技术路线、任务分解，各项内容有缺陷，但对本项目针对性一般得6分；服务进度方案内容不完整，但提供方案内容说明合理，有缺陷但对本项目有针对性得3分；服务进度方案内容不完整，且方案中内容有较多缺陷得1分；方案有严重缺失或重大缺陷或未提供相关说明资料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需提供服务保障措施，保障本项目服务质量及进度。服务保障措施全面详尽，能较好保障本项目顺利完成得10分；服务保障措施较全面，能保障本项目顺利完成，基本无缺陷得8分；有服务保障措施，能基本保障本项目顺利完成，有部分缺陷得6分；有服务保障措施，有较多缺陷得3分；方案有严重缺失或重大缺陷或未提供相关说明资料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拟派服务团队</w:t>
            </w:r>
          </w:p>
        </w:tc>
        <w:tc>
          <w:tcPr>
            <w:tcW w:type="dxa" w:w="2492"/>
          </w:tcPr>
          <w:p>
            <w:pPr>
              <w:pStyle w:val="null3"/>
            </w:pPr>
            <w:r>
              <w:rPr>
                <w:rFonts w:ascii="仿宋_GB2312" w:hAnsi="仿宋_GB2312" w:cs="仿宋_GB2312" w:eastAsia="仿宋_GB2312"/>
              </w:rPr>
              <w:t>投标人需提供拟派服务团队的人员名单、岗位分工及对应岗位职责。拟派服务团队人员结构（如项目负责人、研发、培训、后期技术咨询、售后等岗位）设置定位明确，经验丰富，岗位职责描述清晰，与项目需求匹配度高的，得10分；拟派服务团队人员结构设置合理，岗位职责描述较清晰，与项目需求匹配度较高，内容基本无缺陷，得8分；拟派服务团队人员结构设置合理，有岗位职责描述，部分匹配本项目采购需求，内容有部分缺陷，得6分；有提供拟派服务团队人员结构或岗位职责描述，职责描述不清晰，内容有较多缺陷，得3分；本项内容有严重缺失或重大缺陷或未提供相关说明资料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应急预案及处理措施</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招标人的实际情况提出，方案科学合理且有针对性、建设性，完全符合项目采购需求得6.5分；方案基本满足项目需求，方案内容基本无缺陷得4分；方案内容描述对本项目针对性一般，方案内容有部分缺陷得1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投标人需具有可行的技术培训方案，保证使用单位能熟练操作维护和正常使用，列出详细的培训内容、培训方式等说明。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投标人需提供售后服务措施，包含售后服务条款（包含但不限于免费运维期、服务点位及退换货服务等售后条款）、售后服务承诺（包含但不限于售后联系电话、联系人、售后服务响应时间等其他售后服务承诺）。 方案各部分内容全面、阐述条理清晰详尽、符合本项目采购需求且描述详细可行性强得15分；方案各部分内容全面、符合本项目采购需求且描述详细，基本无缺陷，有针对性得12分；方案各部分内容全面、符合本项目采购需求，有具体描述，但有部分缺陷得9分；方案有部分内容缺失、基本符合本项目采购需求，有相关描述但有较多缺陷得5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本项目为专门面向中小企业采购项目，不进行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详见附件：投标人应提供的资格证明文件.docx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