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版本号：ZHZB-2026-3820260414002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铜川市市本级国有建设用地地籍调查项目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ZHZB-2026-38</w:t>
      </w:r>
      <w:r>
        <w:br/>
      </w:r>
      <w:r>
        <w:br/>
      </w:r>
      <w:r>
        <w:br/>
      </w:r>
    </w:p>
    <w:p>
      <w:pPr>
        <w:pStyle w:val="null3"/>
        <w:jc w:val="center"/>
        <w:outlineLvl w:val="2"/>
      </w:pPr>
      <w:r>
        <w:rPr>
          <w:rFonts w:ascii="仿宋_GB2312" w:hAnsi="仿宋_GB2312" w:cs="仿宋_GB2312" w:eastAsia="仿宋_GB2312"/>
          <w:sz w:val="28"/>
          <w:b/>
        </w:rPr>
        <w:t>铜川市不动产登记中心</w:t>
      </w:r>
    </w:p>
    <w:p>
      <w:pPr>
        <w:pStyle w:val="null3"/>
        <w:jc w:val="center"/>
        <w:outlineLvl w:val="2"/>
      </w:pPr>
      <w:r>
        <w:rPr>
          <w:rFonts w:ascii="仿宋_GB2312" w:hAnsi="仿宋_GB2312" w:cs="仿宋_GB2312" w:eastAsia="仿宋_GB2312"/>
          <w:sz w:val="28"/>
          <w:b/>
        </w:rPr>
        <w:t>众合国际项目管理有限公司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众合国际项目管理有限公司</w:t>
      </w:r>
      <w:r>
        <w:rPr>
          <w:rFonts w:ascii="仿宋_GB2312" w:hAnsi="仿宋_GB2312" w:cs="仿宋_GB2312" w:eastAsia="仿宋_GB2312"/>
        </w:rPr>
        <w:t>（以下简称“代理机构”）受</w:t>
      </w:r>
      <w:r>
        <w:rPr>
          <w:rFonts w:ascii="仿宋_GB2312" w:hAnsi="仿宋_GB2312" w:cs="仿宋_GB2312" w:eastAsia="仿宋_GB2312"/>
        </w:rPr>
        <w:t>铜川市不动产登记中心</w:t>
      </w:r>
      <w:r>
        <w:rPr>
          <w:rFonts w:ascii="仿宋_GB2312" w:hAnsi="仿宋_GB2312" w:cs="仿宋_GB2312" w:eastAsia="仿宋_GB2312"/>
        </w:rPr>
        <w:t>委托，拟对</w:t>
      </w:r>
      <w:r>
        <w:rPr>
          <w:rFonts w:ascii="仿宋_GB2312" w:hAnsi="仿宋_GB2312" w:cs="仿宋_GB2312" w:eastAsia="仿宋_GB2312"/>
        </w:rPr>
        <w:t>铜川市市本级国有建设用地地籍调查项目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ZHZB-2026-38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铜川市市本级国有建设用地地籍调查项目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铜川市市本级国有建设用地地籍调查等（详见招标文件）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采购包1（铜川市市本级国有建设用地地籍调查项目）：属于专门面向中小企业采购。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1、营业执照：提供有效合格的统一社会信用代码的营业执照，其他组织经营的须提供合法凭证， 自然人的提供身份证明文件；</w:t>
      </w:r>
    </w:p>
    <w:p>
      <w:pPr>
        <w:pStyle w:val="null3"/>
      </w:pPr>
      <w:r>
        <w:rPr>
          <w:rFonts w:ascii="仿宋_GB2312" w:hAnsi="仿宋_GB2312" w:cs="仿宋_GB2312" w:eastAsia="仿宋_GB2312"/>
        </w:rPr>
        <w:t>2、财务状况报告：提供 2024 年度或 2025 年度经审计的完整财务报告或开标日期前三个月内其基本存款账户开户银行出具的资信证明。（如提供资信证明，须同时提供基本存款账户开户许可证或基本账户信息表）；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 2025 年 12 月至今已缴纳的至少一个月的纳税证明，依法免税的单位应提供相关证明材料；</w:t>
      </w:r>
    </w:p>
    <w:p>
      <w:pPr>
        <w:pStyle w:val="null3"/>
      </w:pPr>
      <w:r>
        <w:rPr>
          <w:rFonts w:ascii="仿宋_GB2312" w:hAnsi="仿宋_GB2312" w:cs="仿宋_GB2312" w:eastAsia="仿宋_GB2312"/>
        </w:rPr>
        <w:t>4、社会保障资金缴纳证明：提供 2025 年 12 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5、书面声明：具备履行合同所必须的设备和专业技术能力的书面声明；</w:t>
      </w:r>
    </w:p>
    <w:p>
      <w:pPr>
        <w:pStyle w:val="null3"/>
      </w:pPr>
      <w:r>
        <w:rPr>
          <w:rFonts w:ascii="仿宋_GB2312" w:hAnsi="仿宋_GB2312" w:cs="仿宋_GB2312" w:eastAsia="仿宋_GB2312"/>
        </w:rPr>
        <w:t>6、没有重大违法记录的书面声明：参加政府采购活动前三年内，在经营活动中没有重大违法记录的书面声明；</w:t>
      </w:r>
    </w:p>
    <w:p>
      <w:pPr>
        <w:pStyle w:val="null3"/>
      </w:pPr>
      <w:r>
        <w:rPr>
          <w:rFonts w:ascii="仿宋_GB2312" w:hAnsi="仿宋_GB2312" w:cs="仿宋_GB2312" w:eastAsia="仿宋_GB2312"/>
        </w:rPr>
        <w:t>7、资质证书：供应商须具备行政主管部门颁发的测绘乙级（含乙级）以上资质（专业范围需包含界线与不动产测绘）；</w:t>
      </w:r>
    </w:p>
    <w:p>
      <w:pPr>
        <w:pStyle w:val="null3"/>
      </w:pPr>
      <w:r>
        <w:rPr>
          <w:rFonts w:ascii="仿宋_GB2312" w:hAnsi="仿宋_GB2312" w:cs="仿宋_GB2312" w:eastAsia="仿宋_GB2312"/>
        </w:rPr>
        <w:t>8、项目负责人：项目负责人具有行业主管部门颁发的注册测绘师或测绘类中级以上（含中级）职称；</w:t>
      </w:r>
    </w:p>
    <w:p>
      <w:pPr>
        <w:pStyle w:val="null3"/>
      </w:pPr>
      <w:r>
        <w:rPr>
          <w:rFonts w:ascii="仿宋_GB2312" w:hAnsi="仿宋_GB2312" w:cs="仿宋_GB2312" w:eastAsia="仿宋_GB2312"/>
        </w:rPr>
        <w:t>9、信用：供应商未被列入信用中国网站(www.creditchina.gov.cn)“重大税收违法失信主体”；未被列入中国 执行信息公开网(https://zxgk.court.gov.cn)“失信被执行人”；不处于中国政府采购网(www.ccgp. gov.cn)“政府采购严重违法失信行为信息记录”中的禁止参加政府采购活动期间；</w:t>
      </w:r>
    </w:p>
    <w:p>
      <w:pPr>
        <w:pStyle w:val="null3"/>
      </w:pPr>
      <w:r>
        <w:rPr>
          <w:rFonts w:ascii="仿宋_GB2312" w:hAnsi="仿宋_GB2312" w:cs="仿宋_GB2312" w:eastAsia="仿宋_GB2312"/>
        </w:rPr>
        <w:t>10、法定代表人授权委托书：法定代表人授权委托书、被授权人身份证（法定代表人参加投标时,只需提供法定代表人身份证）；</w:t>
      </w:r>
    </w:p>
    <w:p>
      <w:pPr>
        <w:pStyle w:val="null3"/>
      </w:pPr>
      <w:r>
        <w:rPr>
          <w:rFonts w:ascii="仿宋_GB2312" w:hAnsi="仿宋_GB2312" w:cs="仿宋_GB2312" w:eastAsia="仿宋_GB2312"/>
        </w:rPr>
        <w:t>11、联合体：本项目不接受联合体投标。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铜川市不动产登记中心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铜川新区长虹南路世纪花园B3号楼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0919-3195325</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王丽薇</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众合国际项目管理有限公司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西安市莲湖区丰登南路3号1幢306室(丰庆公园北门往西200米PM中心三楼)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孙涛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15991666329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采购包1：2,253,200.00元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代理服务费收费标准：代理服务费参照国家相关规定收取费用，按照国家计委计价格[2002]1980号《招标代理服务收费管理暂行办法》规定标准下浮3%计取。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铜川市不动产登记中心</w:t>
      </w:r>
      <w:r>
        <w:rPr>
          <w:rFonts w:ascii="仿宋_GB2312" w:hAnsi="仿宋_GB2312" w:cs="仿宋_GB2312" w:eastAsia="仿宋_GB2312"/>
        </w:rPr>
        <w:t>和</w:t>
      </w:r>
      <w:r>
        <w:rPr>
          <w:rFonts w:ascii="仿宋_GB2312" w:hAnsi="仿宋_GB2312" w:cs="仿宋_GB2312" w:eastAsia="仿宋_GB2312"/>
        </w:rPr>
        <w:t>众合国际项目管理有限公司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铜川市不动产登记中心</w:t>
      </w:r>
      <w:r>
        <w:rPr>
          <w:rFonts w:ascii="仿宋_GB2312" w:hAnsi="仿宋_GB2312" w:cs="仿宋_GB2312" w:eastAsia="仿宋_GB2312"/>
        </w:rPr>
        <w:t>负责解释。除上述招标文件内容，其他内容由</w:t>
      </w:r>
      <w:r>
        <w:rPr>
          <w:rFonts w:ascii="仿宋_GB2312" w:hAnsi="仿宋_GB2312" w:cs="仿宋_GB2312" w:eastAsia="仿宋_GB2312"/>
        </w:rPr>
        <w:t>众合国际项目管理有限公司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铜川市不动产登记中心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众合国际项目管理有限公司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满足采购人需求并符合国家相关规定要求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联系人：孙涛</w:t>
      </w:r>
    </w:p>
    <w:p>
      <w:pPr>
        <w:pStyle w:val="null3"/>
      </w:pPr>
      <w:r>
        <w:rPr>
          <w:rFonts w:ascii="仿宋_GB2312" w:hAnsi="仿宋_GB2312" w:cs="仿宋_GB2312" w:eastAsia="仿宋_GB2312"/>
        </w:rPr>
        <w:t>联系电话：15991666329</w:t>
      </w:r>
    </w:p>
    <w:p>
      <w:pPr>
        <w:pStyle w:val="null3"/>
      </w:pPr>
      <w:r>
        <w:rPr>
          <w:rFonts w:ascii="仿宋_GB2312" w:hAnsi="仿宋_GB2312" w:cs="仿宋_GB2312" w:eastAsia="仿宋_GB2312"/>
        </w:rPr>
        <w:t>地址：西安市莲湖区丰登南路3号1幢306室(丰庆公园北门往西200米PM中心三楼)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铜川市市本级国有建设用地地籍调查等(详见招标文件)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2,253,200.00</w:t>
      </w:r>
    </w:p>
    <w:p>
      <w:pPr>
        <w:pStyle w:val="null3"/>
      </w:pPr>
      <w:r>
        <w:rPr>
          <w:rFonts w:ascii="仿宋_GB2312" w:hAnsi="仿宋_GB2312" w:cs="仿宋_GB2312" w:eastAsia="仿宋_GB2312"/>
        </w:rPr>
        <w:t>采购包最高限价（元）: 2,253,200.00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建设用地地籍调查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2,253,200.00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标的名称：建设用地地籍调查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105"/>
            </w:pPr>
            <w:r>
              <w:rPr>
                <w:rFonts w:ascii="仿宋_GB2312" w:hAnsi="仿宋_GB2312" w:cs="仿宋_GB2312" w:eastAsia="仿宋_GB2312"/>
                <w:sz w:val="22"/>
                <w:b/>
              </w:rPr>
              <w:t>一、项目概况</w:t>
            </w:r>
          </w:p>
          <w:p>
            <w:pPr>
              <w:pStyle w:val="null3"/>
              <w:spacing w:before="15"/>
              <w:ind w:left="105" w:right="90" w:firstLine="14"/>
              <w:jc w:val="both"/>
            </w:pPr>
            <w:r>
              <w:rPr>
                <w:rFonts w:ascii="仿宋_GB2312" w:hAnsi="仿宋_GB2312" w:cs="仿宋_GB2312" w:eastAsia="仿宋_GB2312"/>
                <w:sz w:val="22"/>
              </w:rPr>
              <w:t>以总书记新时代中国特色社会主义思想为指导，深入贯彻“</w:t>
            </w:r>
            <w:r>
              <w:rPr>
                <w:rFonts w:ascii="仿宋_GB2312" w:hAnsi="仿宋_GB2312" w:cs="仿宋_GB2312" w:eastAsia="仿宋_GB2312"/>
                <w:sz w:val="22"/>
              </w:rPr>
              <w:t>源于地籍、归于地籍”理念，紧扣陕西省自然资源厅与铜川市自然资源局工作部署，聚焦市本级国有建设用地管理痛点难点，明确 2026 年底前需完成铜川市市本级国有建设用地地籍调查和登记数据整理入库汇交。</w:t>
            </w:r>
          </w:p>
          <w:p>
            <w:pPr>
              <w:pStyle w:val="null3"/>
              <w:ind w:left="105"/>
            </w:pPr>
            <w:r>
              <w:rPr>
                <w:rFonts w:ascii="仿宋_GB2312" w:hAnsi="仿宋_GB2312" w:cs="仿宋_GB2312" w:eastAsia="仿宋_GB2312"/>
                <w:sz w:val="22"/>
                <w:b/>
              </w:rPr>
              <w:t>二、服务内容</w:t>
            </w:r>
          </w:p>
          <w:p>
            <w:pPr>
              <w:pStyle w:val="null3"/>
              <w:ind w:left="120"/>
            </w:pPr>
            <w:r>
              <w:rPr>
                <w:rFonts w:ascii="仿宋_GB2312" w:hAnsi="仿宋_GB2312" w:cs="仿宋_GB2312" w:eastAsia="仿宋_GB2312"/>
                <w:sz w:val="22"/>
              </w:rPr>
              <w:t>1</w:t>
            </w:r>
            <w:r>
              <w:rPr>
                <w:rFonts w:ascii="仿宋_GB2312" w:hAnsi="仿宋_GB2312" w:cs="仿宋_GB2312" w:eastAsia="仿宋_GB2312"/>
                <w:sz w:val="22"/>
              </w:rPr>
              <w:t>、项目实施地点：采购人要求</w:t>
            </w:r>
          </w:p>
          <w:p>
            <w:pPr>
              <w:pStyle w:val="null3"/>
              <w:ind w:left="105" w:right="90"/>
            </w:pPr>
            <w:r>
              <w:rPr>
                <w:rFonts w:ascii="仿宋_GB2312" w:hAnsi="仿宋_GB2312" w:cs="仿宋_GB2312" w:eastAsia="仿宋_GB2312"/>
                <w:sz w:val="22"/>
                <w:color w:val="000000"/>
              </w:rPr>
              <w:t>2</w:t>
            </w:r>
            <w:r>
              <w:rPr>
                <w:rFonts w:ascii="仿宋_GB2312" w:hAnsi="仿宋_GB2312" w:cs="仿宋_GB2312" w:eastAsia="仿宋_GB2312"/>
                <w:sz w:val="22"/>
                <w:color w:val="000000"/>
              </w:rPr>
              <w:t>、工作内容：</w:t>
            </w:r>
            <w:r>
              <w:rPr>
                <w:rFonts w:ascii="仿宋_GB2312" w:hAnsi="仿宋_GB2312" w:cs="仿宋_GB2312" w:eastAsia="仿宋_GB2312"/>
                <w:sz w:val="22"/>
                <w:color w:val="000000"/>
              </w:rPr>
              <w:t>1.</w:t>
            </w:r>
            <w:r>
              <w:rPr>
                <w:rFonts w:ascii="仿宋_GB2312" w:hAnsi="仿宋_GB2312" w:cs="仿宋_GB2312" w:eastAsia="仿宋_GB2312"/>
                <w:sz w:val="22"/>
                <w:color w:val="000000"/>
              </w:rPr>
              <w:t>基础数据收集整合</w:t>
            </w:r>
            <w:r>
              <w:rPr>
                <w:rFonts w:ascii="仿宋_GB2312" w:hAnsi="仿宋_GB2312" w:cs="仿宋_GB2312" w:eastAsia="仿宋_GB2312"/>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开展地籍调查</w:t>
            </w:r>
            <w:r>
              <w:rPr>
                <w:rFonts w:ascii="仿宋_GB2312" w:hAnsi="仿宋_GB2312" w:cs="仿宋_GB2312" w:eastAsia="仿宋_GB2312"/>
                <w:sz w:val="22"/>
                <w:color w:val="000000"/>
              </w:rPr>
              <w:t>3.</w:t>
            </w:r>
            <w:r>
              <w:rPr>
                <w:rFonts w:ascii="仿宋_GB2312" w:hAnsi="仿宋_GB2312" w:cs="仿宋_GB2312" w:eastAsia="仿宋_GB2312"/>
                <w:sz w:val="22"/>
                <w:color w:val="000000"/>
              </w:rPr>
              <w:t>地籍数据</w:t>
            </w:r>
            <w:r>
              <w:rPr>
                <w:rFonts w:ascii="仿宋_GB2312" w:hAnsi="仿宋_GB2312" w:cs="仿宋_GB2312" w:eastAsia="仿宋_GB2312"/>
                <w:sz w:val="22"/>
                <w:color w:val="000000"/>
              </w:rPr>
              <w:t>库建设</w:t>
            </w:r>
            <w:r>
              <w:rPr>
                <w:rFonts w:ascii="仿宋_GB2312" w:hAnsi="仿宋_GB2312" w:cs="仿宋_GB2312" w:eastAsia="仿宋_GB2312"/>
                <w:sz w:val="22"/>
                <w:color w:val="000000"/>
              </w:rPr>
              <w:t>4.</w:t>
            </w:r>
            <w:r>
              <w:rPr>
                <w:rFonts w:ascii="仿宋_GB2312" w:hAnsi="仿宋_GB2312" w:cs="仿宋_GB2312" w:eastAsia="仿宋_GB2312"/>
                <w:sz w:val="22"/>
                <w:color w:val="000000"/>
              </w:rPr>
              <w:t>成果汇交</w:t>
            </w:r>
          </w:p>
          <w:p>
            <w:pPr>
              <w:pStyle w:val="null3"/>
              <w:ind w:left="105"/>
            </w:pPr>
            <w:r>
              <w:rPr>
                <w:rFonts w:ascii="仿宋_GB2312" w:hAnsi="仿宋_GB2312" w:cs="仿宋_GB2312" w:eastAsia="仿宋_GB2312"/>
                <w:sz w:val="22"/>
                <w:b/>
                <w:color w:val="000000"/>
              </w:rPr>
              <w:t>三</w:t>
            </w:r>
            <w:r>
              <w:rPr>
                <w:rFonts w:ascii="仿宋_GB2312" w:hAnsi="仿宋_GB2312" w:cs="仿宋_GB2312" w:eastAsia="仿宋_GB2312"/>
                <w:sz w:val="22"/>
                <w:b/>
                <w:color w:val="000000"/>
              </w:rPr>
              <w:t>、服务要求</w:t>
            </w:r>
          </w:p>
          <w:p>
            <w:pPr>
              <w:pStyle w:val="null3"/>
              <w:ind w:left="105"/>
            </w:pPr>
            <w:r>
              <w:rPr>
                <w:rFonts w:ascii="仿宋_GB2312" w:hAnsi="仿宋_GB2312" w:cs="仿宋_GB2312" w:eastAsia="仿宋_GB2312"/>
                <w:sz w:val="22"/>
                <w:color w:val="000000"/>
              </w:rPr>
              <w:t>1、</w:t>
            </w:r>
            <w:r>
              <w:rPr>
                <w:rFonts w:ascii="仿宋_GB2312" w:hAnsi="仿宋_GB2312" w:cs="仿宋_GB2312" w:eastAsia="仿宋_GB2312"/>
                <w:sz w:val="22"/>
                <w:color w:val="000000"/>
              </w:rPr>
              <w:t>供应商需安排不少于</w:t>
            </w:r>
            <w:r>
              <w:rPr>
                <w:rFonts w:ascii="仿宋_GB2312" w:hAnsi="仿宋_GB2312" w:cs="仿宋_GB2312" w:eastAsia="仿宋_GB2312"/>
                <w:sz w:val="22"/>
                <w:color w:val="000000"/>
              </w:rPr>
              <w:t>4</w:t>
            </w:r>
            <w:r>
              <w:rPr>
                <w:rFonts w:ascii="仿宋_GB2312" w:hAnsi="仿宋_GB2312" w:cs="仿宋_GB2312" w:eastAsia="仿宋_GB2312"/>
                <w:sz w:val="22"/>
                <w:color w:val="000000"/>
              </w:rPr>
              <w:t>位专职人员对接、专职驻场工作。</w:t>
            </w:r>
          </w:p>
          <w:p>
            <w:pPr>
              <w:pStyle w:val="null3"/>
              <w:ind w:left="105" w:right="180" w:firstLine="17"/>
            </w:pPr>
            <w:r>
              <w:rPr>
                <w:rFonts w:ascii="仿宋_GB2312" w:hAnsi="仿宋_GB2312" w:cs="仿宋_GB2312" w:eastAsia="仿宋_GB2312"/>
                <w:sz w:val="22"/>
                <w:color w:val="000000"/>
              </w:rPr>
              <w:t>2</w:t>
            </w:r>
            <w:r>
              <w:rPr>
                <w:rFonts w:ascii="仿宋_GB2312" w:hAnsi="仿宋_GB2312" w:cs="仿宋_GB2312" w:eastAsia="仿宋_GB2312"/>
                <w:sz w:val="22"/>
                <w:color w:val="000000"/>
              </w:rPr>
              <w:t>、成果报告要求</w:t>
            </w:r>
            <w:r>
              <w:rPr>
                <w:rFonts w:ascii="仿宋_GB2312" w:hAnsi="仿宋_GB2312" w:cs="仿宋_GB2312" w:eastAsia="仿宋_GB2312"/>
                <w:sz w:val="22"/>
                <w:color w:val="000000"/>
              </w:rPr>
              <w:t>:</w:t>
            </w:r>
            <w:r>
              <w:rPr>
                <w:rFonts w:ascii="仿宋_GB2312" w:hAnsi="仿宋_GB2312" w:cs="仿宋_GB2312" w:eastAsia="仿宋_GB2312"/>
                <w:sz w:val="22"/>
                <w:color w:val="000000"/>
              </w:rPr>
              <w:t>服务成果经采购人确认后，按照采购人时限</w:t>
            </w:r>
            <w:r>
              <w:rPr>
                <w:rFonts w:ascii="仿宋_GB2312" w:hAnsi="仿宋_GB2312" w:cs="仿宋_GB2312" w:eastAsia="仿宋_GB2312"/>
                <w:sz w:val="22"/>
                <w:color w:val="000000"/>
              </w:rPr>
              <w:t>要求，</w:t>
            </w:r>
            <w:r>
              <w:rPr>
                <w:rFonts w:ascii="仿宋_GB2312" w:hAnsi="仿宋_GB2312" w:cs="仿宋_GB2312" w:eastAsia="仿宋_GB2312"/>
                <w:sz w:val="22"/>
                <w:color w:val="000000"/>
              </w:rPr>
              <w:t>按照地籍数据库标准等要求，全面系统整理已有国有建设用地地籍调查成果，清理重复、无效数据，将现势有效的成果纳入地籍数据库，并与登记数据做好关联，</w:t>
            </w:r>
            <w:r>
              <w:rPr>
                <w:rFonts w:ascii="仿宋_GB2312" w:hAnsi="仿宋_GB2312" w:cs="仿宋_GB2312" w:eastAsia="仿宋_GB2312"/>
                <w:sz w:val="22"/>
                <w:color w:val="000000"/>
              </w:rPr>
              <w:t>12月底前汇交。</w:t>
            </w:r>
          </w:p>
          <w:p>
            <w:pPr>
              <w:pStyle w:val="null3"/>
              <w:ind w:left="105" w:right="180" w:firstLine="17"/>
            </w:pPr>
            <w:r>
              <w:rPr>
                <w:rFonts w:ascii="仿宋_GB2312" w:hAnsi="仿宋_GB2312" w:cs="仿宋_GB2312" w:eastAsia="仿宋_GB2312"/>
                <w:sz w:val="22"/>
                <w:color w:val="000000"/>
              </w:rPr>
              <w:t>3、成果主要内容应当符合《关于做好 2026 年产权数据汇交工作的函》（自然资登记函〔2026〕24 号）的文件要求。</w:t>
            </w:r>
          </w:p>
          <w:p>
            <w:pPr>
              <w:pStyle w:val="null3"/>
              <w:ind w:left="105" w:right="180" w:firstLine="17"/>
            </w:pPr>
            <w:r>
              <w:rPr>
                <w:rFonts w:ascii="仿宋_GB2312" w:hAnsi="仿宋_GB2312" w:cs="仿宋_GB2312" w:eastAsia="仿宋_GB2312"/>
                <w:sz w:val="22"/>
                <w:color w:val="000000"/>
              </w:rPr>
              <w:t>4、</w:t>
            </w:r>
            <w:r>
              <w:rPr>
                <w:rFonts w:ascii="仿宋_GB2312" w:hAnsi="仿宋_GB2312" w:cs="仿宋_GB2312" w:eastAsia="仿宋_GB2312"/>
                <w:sz w:val="22"/>
                <w:color w:val="000000"/>
              </w:rPr>
              <w:t>乙方须按照不动产登记主管部门规定和标准，修改完善成果数据，直至成功汇交，不再另行收费。</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满足采购人需求并符合国家相关规定要求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满足采购人需求并符合国家相关规定要求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满足采购人需求并符合国家相关规定要求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 年 12 月 30 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符合国家及行业相关标准；地籍调查成果数据汇交通过后，后按照乙方所提供的资料及数据进行验收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签订合同（预付款）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供应商完成铜川市市本级国有建设用地地籍调查项目 ，出具合格的成果报告</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3、合同争议的解决方式：在执行本合同中发生的或与本合同 有关的争端，双方应通过友好协商解决，经协商在30天内不能达成协议时，向采购人所在地人民法院提起诉讼。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满足采购人需求并符合国家相关规定要求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提供有效合格的统一社会信用代码的营业执照，其他组织经营的须提供合法凭证， 自然人的提供身份证明文件；</w:t>
            </w:r>
          </w:p>
        </w:tc>
        <w:tc>
          <w:tcPr>
            <w:tcW w:type="dxa" w:w="1661"/>
          </w:tcPr>
          <w:p>
            <w:pPr>
              <w:pStyle w:val="null3"/>
            </w:pPr>
            <w:r>
              <w:rPr>
                <w:rFonts w:ascii="仿宋_GB2312" w:hAnsi="仿宋_GB2312" w:cs="仿宋_GB2312" w:eastAsia="仿宋_GB2312"/>
              </w:rPr>
              <w:t>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 2024 年度或 2025 年度经审计的完整财务报告或开标日期前三个月内其基本存款账户开户银行出具的资信证明。（如提供资信证明，须同时提供基本存款账户开户许可证或基本账户信息表）；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 2025 年 12 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 2025 年 12 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供应商须具备行政主管部门颁发的测绘乙级（含乙级）以上资质（专业范围需包含界线与不动产测绘）；</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项目负责人具有行业主管部门颁发的注册测绘师或测绘类中级以上（含中级）职称；</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供应商未被列入信用中国网站(www.creditchina.gov.cn)“重大税收违法失信主体”；未被列入中国 执行信息公开网(https://zxgk.court.gov.cn)“失信被执行人”；不处于中国政府采购网(www.ccgp. gov.cn)“政府采购严重违法失信行为信息记录”中的禁止参加政府采购活动期间；</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法定代表人授权委托书、被授权人身份证（法定代表人参加投标时,只需提供法定代表人身份证）；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投标文件构成无重大缺项，按照招标文件要求的格式编写投标文件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报价唯一，且没有低于成本价或高于最高限价的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投标文件的签署、盖章符合招标文件要求，供应商递交的投标文件与本项目名称一致</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服务期限、付款方式响应招标文件要求</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服务方案总则</w:t>
            </w:r>
          </w:p>
        </w:tc>
        <w:tc>
          <w:tcPr>
            <w:tcW w:type="dxa" w:w="2492"/>
          </w:tcPr>
          <w:p>
            <w:pPr>
              <w:pStyle w:val="null3"/>
            </w:pPr>
            <w:r>
              <w:rPr>
                <w:rFonts w:ascii="仿宋_GB2312" w:hAnsi="仿宋_GB2312" w:cs="仿宋_GB2312" w:eastAsia="仿宋_GB2312"/>
              </w:rPr>
              <w:t>评审内容：对本项目涉及①服务原则；②项目机构设置。评审标准：方案各部分内容全面详细、阐述条理清晰详尽、符合本项目采购需求得6分；评审内容每缺一项扣3分，扣完为止；评审内容有一项内容缺陷（缺陷是指：内容描述过于简单、条理不清晰、与项目内容不匹配、凭空编造、出现常识性错误、不可能实现的夸大情形、存在不适用项目实际情况的情形等）每一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地籍调查方案</w:t>
            </w:r>
          </w:p>
        </w:tc>
        <w:tc>
          <w:tcPr>
            <w:tcW w:type="dxa" w:w="2492"/>
          </w:tcPr>
          <w:p>
            <w:pPr>
              <w:pStyle w:val="null3"/>
            </w:pPr>
            <w:r>
              <w:rPr>
                <w:rFonts w:ascii="仿宋_GB2312" w:hAnsi="仿宋_GB2312" w:cs="仿宋_GB2312" w:eastAsia="仿宋_GB2312"/>
              </w:rPr>
              <w:t>评审内容：对本项目涉及①对本项目的总体分析；②工作流程；③项目实施方案；④项目进度安排及控制措施；⑤组织管理措施。评审标准：方案各部分内容全面详细、阐述条理清晰详尽、符合本项目采购需求得25分；评审内容每缺一项扣5分，扣完为止；评审内容有一项内容缺陷（缺陷是指：内容描述过于简单、条理不清晰、与项目内容不匹配、凭空编造、出现常识性错误、不可能实现的夸大情形、存在不适用项目实际情况的情形等）每一处缺陷扣0.5分，扣完为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沟通协调方案</w:t>
            </w:r>
          </w:p>
        </w:tc>
        <w:tc>
          <w:tcPr>
            <w:tcW w:type="dxa" w:w="2492"/>
          </w:tcPr>
          <w:p>
            <w:pPr>
              <w:pStyle w:val="null3"/>
            </w:pPr>
            <w:r>
              <w:rPr>
                <w:rFonts w:ascii="仿宋_GB2312" w:hAnsi="仿宋_GB2312" w:cs="仿宋_GB2312" w:eastAsia="仿宋_GB2312"/>
              </w:rPr>
              <w:t>评审内容：对本项目涉及①沟通衔接制度；②沟通与协调实施。评审标准：方案各部分内容全面详细、阐述条理清 晰详尽、符合本项目采购需求得6分；评审内容每缺一项扣3分，扣完为止；评审内容有一项内容缺陷（缺陷是指：内容描述过于简单、条理不清晰、与项目内容不匹配、凭空编造、出现常识性错误、不可能实现的夸大情形、存在不适用项目实际情况的情形等）每一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安全及突发情况保障措施</w:t>
            </w:r>
          </w:p>
        </w:tc>
        <w:tc>
          <w:tcPr>
            <w:tcW w:type="dxa" w:w="2492"/>
          </w:tcPr>
          <w:p>
            <w:pPr>
              <w:pStyle w:val="null3"/>
            </w:pPr>
            <w:r>
              <w:rPr>
                <w:rFonts w:ascii="仿宋_GB2312" w:hAnsi="仿宋_GB2312" w:cs="仿宋_GB2312" w:eastAsia="仿宋_GB2312"/>
              </w:rPr>
              <w:t>评审内容：对本项目涉及①安全保障方案；②安全保障措施；③项目可能出现的突发情况及相应的保障措施。评审标准：方案各部分内容全面详细、阐述条理清晰详尽、符合本项目采购需求得9分；评审内容每缺一项扣3分，扣完为止；评审内容有一项内容缺陷（缺陷是指：内容描述过于简单、条理不清晰、与项目内容不匹配、凭空编造、出现常识性错误、不可能实现的夸大情形、存在不适用项 目实际情况的情形等）每一处缺陷扣0.5分，扣完为止。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对本项目涉及①组织措施；②技术措施。评审标准：方案各部分内容全面详细、阐述条理清晰详尽、符合本项目采购需求得6分；评审内容每缺一项扣3分，扣完为止；评审内容有一项内容缺陷（缺陷是指：内容描述过于简单、条理不清晰、与项目内容不匹配、凭空编造、出现常识性错误、不可能实现的夸大情形、存在不适用项目实际情况的情形等）每一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评审内容：对本项目涉及①根据项目要求拟投入的服务人员数量②根据拟投入的服务人员年龄、专业经验等情况。评审标准：评审内容描述详细内容全面得8分，评审内容任意一项缺项扣4分，扣完为止。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保密管理制度</w:t>
            </w:r>
          </w:p>
        </w:tc>
        <w:tc>
          <w:tcPr>
            <w:tcW w:type="dxa" w:w="2492"/>
          </w:tcPr>
          <w:p>
            <w:pPr>
              <w:pStyle w:val="null3"/>
            </w:pPr>
            <w:r>
              <w:rPr>
                <w:rFonts w:ascii="仿宋_GB2312" w:hAnsi="仿宋_GB2312" w:cs="仿宋_GB2312" w:eastAsia="仿宋_GB2312"/>
              </w:rPr>
              <w:t>评审内容：对本项目涉及①保密方案②保密管理制度。评审标准：方案各部分内容全面详细、阐述条理清晰详尽、符合本项目采购需求得6分；评审内容每缺一项扣3分，扣完为止；评审内容有一项内容缺陷（缺陷是指：内容描述过于简单、条理不清晰、与项目内容不匹配、凭空编造、出现常识性错误、不可能实现的夸大情形、存在不适用项目实际情况的情形等）每一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对本项目涉及①服务目标②服务效果③拟投入的设备④服务过程中的人员到岗情况。评审标准：方案各部分内容全面详细、阐述条理清晰详尽、符合本项目采购需求得8分；评审内容每缺一项扣2分，扣完为止；评审内容有一项内容缺陷（缺陷是指：内容描述过于简单、条理不清晰、与项目内容不匹配、凭空编造、出现常识性错误、不可能实现的夸大情形、存在不适用项目实际情况的情形等）每一处缺陷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档案管理措施</w:t>
            </w:r>
          </w:p>
        </w:tc>
        <w:tc>
          <w:tcPr>
            <w:tcW w:type="dxa" w:w="2492"/>
          </w:tcPr>
          <w:p>
            <w:pPr>
              <w:pStyle w:val="null3"/>
            </w:pPr>
            <w:r>
              <w:rPr>
                <w:rFonts w:ascii="仿宋_GB2312" w:hAnsi="仿宋_GB2312" w:cs="仿宋_GB2312" w:eastAsia="仿宋_GB2312"/>
              </w:rPr>
              <w:t>评审内容：对本项目涉及①档案管理度②档案管理保存措施。评审标准：方案各部分内容全面详细、阐述条理清晰详尽、符合本项目采购需求得6分；评审内容每缺一项扣3分，扣完为止；评审内容有一项内容缺陷（缺陷是指：内容描述过于简单、条理不清晰、与项目内容不匹配、凭空编造、出现常识性错误、不可能实现的夸大情形、存在不适用项目实际情况的情形等）每一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供应商提供2024年1月1日起至今类似项目业绩，提供合同或协议复印件加盖公章，每提供一份得2分(时间以合同落款时间为准)，满分10分。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1.满足招标文件实质性要求且投标报价最低的供应商的价格为投标基准价，其价格分为满分 10 分。 2.投标报价得分=（投标基准价/投标报价）×10 的公式计算得分。 3.投标报价不完整的，不进入评标标准价的计算，本项得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