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版本号：LT2026-100520260415001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铜川市王益区黄堡镇七一水库溢洪道滑坡治理工程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LT2026-1005</w:t>
      </w:r>
      <w:r>
        <w:br/>
      </w:r>
      <w:r>
        <w:br/>
      </w:r>
      <w:r>
        <w:br/>
      </w:r>
    </w:p>
    <w:p>
      <w:pPr>
        <w:pStyle w:val="null3"/>
        <w:jc w:val="center"/>
        <w:outlineLvl w:val="2"/>
      </w:pPr>
      <w:r>
        <w:rPr>
          <w:rFonts w:ascii="仿宋_GB2312" w:hAnsi="仿宋_GB2312" w:cs="仿宋_GB2312" w:eastAsia="仿宋_GB2312"/>
          <w:sz w:val="28"/>
          <w:b/>
        </w:rPr>
        <w:t>铜川市自然资源局王益分局</w:t>
      </w:r>
    </w:p>
    <w:p>
      <w:pPr>
        <w:pStyle w:val="null3"/>
        <w:jc w:val="center"/>
        <w:outlineLvl w:val="2"/>
      </w:pPr>
      <w:r>
        <w:rPr>
          <w:rFonts w:ascii="仿宋_GB2312" w:hAnsi="仿宋_GB2312" w:cs="仿宋_GB2312" w:eastAsia="仿宋_GB2312"/>
          <w:sz w:val="28"/>
          <w:b/>
        </w:rPr>
        <w:t>陕西龙投国发项目管理有限公司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陕西龙投国发项目管理有限公司</w:t>
      </w:r>
      <w:r>
        <w:rPr>
          <w:rFonts w:ascii="仿宋_GB2312" w:hAnsi="仿宋_GB2312" w:cs="仿宋_GB2312" w:eastAsia="仿宋_GB2312"/>
        </w:rPr>
        <w:t>（以下简称“代理机构”）受</w:t>
      </w:r>
      <w:r>
        <w:rPr>
          <w:rFonts w:ascii="仿宋_GB2312" w:hAnsi="仿宋_GB2312" w:cs="仿宋_GB2312" w:eastAsia="仿宋_GB2312"/>
        </w:rPr>
        <w:t>铜川市自然资源局王益分局</w:t>
      </w:r>
      <w:r>
        <w:rPr>
          <w:rFonts w:ascii="仿宋_GB2312" w:hAnsi="仿宋_GB2312" w:cs="仿宋_GB2312" w:eastAsia="仿宋_GB2312"/>
        </w:rPr>
        <w:t>委托，拟对</w:t>
      </w:r>
      <w:r>
        <w:rPr>
          <w:rFonts w:ascii="仿宋_GB2312" w:hAnsi="仿宋_GB2312" w:cs="仿宋_GB2312" w:eastAsia="仿宋_GB2312"/>
        </w:rPr>
        <w:t>铜川市王益区黄堡镇七一水库溢洪道滑坡治理工程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LT2026-1005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铜川市王益区黄堡镇七一水库溢洪道滑坡治理工程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分级放坡+护脚挡墙+截排水工程。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采购包1（铜川市王益区黄堡镇七一水库溢洪道滑坡治理工程）：属于专门面向中小企业采购。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直接参加磋商的，须出具法人身份证明及身份证复印件；法定代表人授权代表参加磋商的，须出具法定代表人授权书及授权代表身份证复印件；：法定代表人直接参加磋商的，须出具法人身份证明及身份证复印件；法定代表人授权代表参加磋商的，须出具法定代表人授权书及授权代表身份证复印件；</w:t>
      </w:r>
    </w:p>
    <w:p>
      <w:pPr>
        <w:pStyle w:val="null3"/>
      </w:pPr>
      <w:r>
        <w:rPr>
          <w:rFonts w:ascii="仿宋_GB2312" w:hAnsi="仿宋_GB2312" w:cs="仿宋_GB2312" w:eastAsia="仿宋_GB2312"/>
        </w:rPr>
        <w:t>2、企业资质：供应商须具备地质灾害防治单位资质施工乙级以上资质（含乙级），并具备安全生产许可证；</w:t>
      </w:r>
    </w:p>
    <w:p>
      <w:pPr>
        <w:pStyle w:val="null3"/>
      </w:pPr>
      <w:r>
        <w:rPr>
          <w:rFonts w:ascii="仿宋_GB2312" w:hAnsi="仿宋_GB2312" w:cs="仿宋_GB2312" w:eastAsia="仿宋_GB2312"/>
        </w:rPr>
        <w:t>3、拟派项目负责人资格：拟派项目负责人须具备建筑工程专业二级以上（含二级）注册建造师资格，同时具有注册证和有效的安全生产考核合格证书，且无在建工程（承诺书）；</w:t>
      </w:r>
    </w:p>
    <w:p>
      <w:pPr>
        <w:pStyle w:val="null3"/>
      </w:pPr>
      <w:r>
        <w:rPr>
          <w:rFonts w:ascii="仿宋_GB2312" w:hAnsi="仿宋_GB2312" w:cs="仿宋_GB2312" w:eastAsia="仿宋_GB2312"/>
        </w:rPr>
        <w:t>4、单位负责人为同一人或者存在直接控股、管理关系的不同供应商，不得参加同一合同项下的政府采购活动。：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铜川市自然资源局王益分局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铜川市王益区红旗街1号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扈静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0919-2188192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陕西龙投国发项目管理有限公司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陕西省西安市碑林区陕西省西安市碑林区更新街13号铭爵大厦20707室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李董龙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029-87976716-604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采购包1：1,547,700.00元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代理服务费收费标准：参照《招标代理服务收费管理暂行办法》（计价格[2002]1980号）和《关于招标代理服务收费有关问题的通知》（发改办价格[2003]857号）的有关规定执行</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铜川市自然资源局王益分局</w:t>
      </w:r>
      <w:r>
        <w:rPr>
          <w:rFonts w:ascii="仿宋_GB2312" w:hAnsi="仿宋_GB2312" w:cs="仿宋_GB2312" w:eastAsia="仿宋_GB2312"/>
        </w:rPr>
        <w:t>和</w:t>
      </w:r>
      <w:r>
        <w:rPr>
          <w:rFonts w:ascii="仿宋_GB2312" w:hAnsi="仿宋_GB2312" w:cs="仿宋_GB2312" w:eastAsia="仿宋_GB2312"/>
        </w:rPr>
        <w:t>陕西龙投国发项目管理有限公司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铜川市自然资源局王益分局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陕西龙投国发项目管理有限公司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铜川市自然资源局王益分局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陕西龙投国发项目管理有限公司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以实际合同内容为准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陕西龙投国发项目管理有限公司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陕西龙投国发项目管理有限公司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陕西龙投国发项目管理有限公司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联系人：李董龙</w:t>
      </w:r>
    </w:p>
    <w:p>
      <w:pPr>
        <w:pStyle w:val="null3"/>
      </w:pPr>
      <w:r>
        <w:rPr>
          <w:rFonts w:ascii="仿宋_GB2312" w:hAnsi="仿宋_GB2312" w:cs="仿宋_GB2312" w:eastAsia="仿宋_GB2312"/>
        </w:rPr>
        <w:t>联系电话：029-87976716-604</w:t>
      </w:r>
    </w:p>
    <w:p>
      <w:pPr>
        <w:pStyle w:val="null3"/>
      </w:pPr>
      <w:r>
        <w:rPr>
          <w:rFonts w:ascii="仿宋_GB2312" w:hAnsi="仿宋_GB2312" w:cs="仿宋_GB2312" w:eastAsia="仿宋_GB2312"/>
        </w:rPr>
        <w:t>地址：陕西省西安市碑林区更新街13 号铭爵大厦20707 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1,547,700.00</w:t>
      </w:r>
    </w:p>
    <w:p>
      <w:pPr>
        <w:pStyle w:val="null3"/>
      </w:pPr>
      <w:r>
        <w:rPr>
          <w:rFonts w:ascii="仿宋_GB2312" w:hAnsi="仿宋_GB2312" w:cs="仿宋_GB2312" w:eastAsia="仿宋_GB2312"/>
        </w:rPr>
        <w:t>采购包最高限价（元）: 1,547,700.00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铜川市王益区黄堡镇七一水库溢洪道滑坡治理工程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1,547,700.00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标的名称：铜川市王益区黄堡镇七一水库溢洪道滑坡治理工程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 xml:space="preserve">详见工程量清单  </w:t>
            </w:r>
          </w:p>
          <w:p>
            <w:pPr>
              <w:pStyle w:val="null3"/>
              <w:jc w:val="center"/>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采购标的对应的中小企业划分标准所属行业为建筑业。建筑业的划型标准为：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（2）、供应商应具备良好的商业信誉，提供参加政府采购活动前3年内在经营活动中没有重大违法记录的书面声明； （3）、财务状况报告：供应商提供2024或2025的财务审计报告（至少包括资产负债表和利润表，成立时间至提交响应文件截止时间不足一年的可提供成立后任意时段的资产负债表），或其开标前六个月内银行开具的资信证明； （4）、社会保障资金缴纳证明：供应商提供已缴存的2025年度4月至今任意一个月的社会保障资金缴存单据或社保机构开具的社会保险参保缴费情况证明，单据或证明上应有社保机构或代收机构的公章。依法不需要缴纳社会保障资金的供应商应提供相关文件证明； （5）、税收缴纳证明：供应商提供已缴纳的2025年度4月至今任意一个月的纳税证明或完税证明，纳税证明或完税证明上应有代收机构或税务机关的公章。依法免税的供应商应提供相关文件证明； （6）、供应商不得为“信用中国(www.creditchina.gov.cn)”中列入失信被执行人和重大税收违法案件当事人名单的供应商，不得为“中国政府采购网(www.ccgp.gov.cn)”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 （7）、具备履行合同所必需的设备和专业技术能力的证明材料（书面声明）；供应商需在项目电子化交易系统中按要求填写《投标函》完成承诺并进行电子签章。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供应商提供2024或2025的财务审计报告（至少包括资产负债表和利润表，成立时间至提交响应文件截止时间不足一年的可提供成立后任意时段的资产负债表），或其开标前六个月内银行开具的资信证明。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资格证明文件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法定代表人直接参加磋商的，须出具法人身份证明及身份证复印件；法定代表人授权代表参加磋商的，须出具法定代表人授权书及授权代表身份证复印件；</w:t>
            </w:r>
          </w:p>
        </w:tc>
        <w:tc>
          <w:tcPr>
            <w:tcW w:type="dxa" w:w="3322"/>
          </w:tcPr>
          <w:p>
            <w:pPr>
              <w:pStyle w:val="null3"/>
            </w:pPr>
            <w:r>
              <w:rPr>
                <w:rFonts w:ascii="仿宋_GB2312" w:hAnsi="仿宋_GB2312" w:cs="仿宋_GB2312" w:eastAsia="仿宋_GB2312"/>
              </w:rPr>
              <w:t>法定代表人直接参加磋商的，须出具法人身份证明及身份证复印件；法定代表人授权代表参加磋商的，须出具法定代表人授权书及授权代表身份证复印件；</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供应商须具备地质灾害防治单位资质施工乙级以上资质（含乙级），并具备安全生产许可证；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拟派项目负责人资格</w:t>
            </w:r>
          </w:p>
        </w:tc>
        <w:tc>
          <w:tcPr>
            <w:tcW w:type="dxa" w:w="3322"/>
          </w:tcPr>
          <w:p>
            <w:pPr>
              <w:pStyle w:val="null3"/>
            </w:pPr>
            <w:r>
              <w:rPr>
                <w:rFonts w:ascii="仿宋_GB2312" w:hAnsi="仿宋_GB2312" w:cs="仿宋_GB2312" w:eastAsia="仿宋_GB2312"/>
              </w:rPr>
              <w:t>拟派项目负责人须具备建筑工程专业二级以上（含二级）注册建造师资格，同时具有注册证和有效的安全生产考核合格证书，且无在建工程（承诺书）；</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只能有一个有效报价，不得提交选择性报价，且报价不超过采购预算或最高限价</w:t>
            </w:r>
          </w:p>
        </w:tc>
        <w:tc>
          <w:tcPr>
            <w:tcW w:type="dxa" w:w="1661"/>
          </w:tcPr>
          <w:p>
            <w:pPr>
              <w:pStyle w:val="null3"/>
            </w:pPr>
            <w:r>
              <w:rPr>
                <w:rFonts w:ascii="仿宋_GB2312" w:hAnsi="仿宋_GB2312" w:cs="仿宋_GB2312" w:eastAsia="仿宋_GB2312"/>
              </w:rPr>
              <w:t>响应文件封面 已标价工程量清单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竞争性磋商文件要求盖公章及要求法人或委托代理人盖章或签字的位置必须盖章或签字</w:t>
            </w:r>
          </w:p>
        </w:tc>
        <w:tc>
          <w:tcPr>
            <w:tcW w:type="dxa" w:w="1661"/>
          </w:tcPr>
          <w:p>
            <w:pPr>
              <w:pStyle w:val="null3"/>
            </w:pPr>
            <w:r>
              <w:rPr>
                <w:rFonts w:ascii="仿宋_GB2312" w:hAnsi="仿宋_GB2312" w:cs="仿宋_GB2312" w:eastAsia="仿宋_GB2312"/>
              </w:rPr>
              <w:t>响应文件封面 资格证明文件 满足详细评审办法的内容 项目管理机构组成表 中小企业声明函 技术服务合同条款及其他商务要求应答表 标的清单 供应商类似项目业绩一览表 主要人员简历表 强制优先采购产品承诺函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供应商针对本项目编制完善的施工方案，内容包含但不限于：具体施工内容、施工次序、施工方法（工艺）等。 评审标准 ①内容科学全面，详细、具体的计8分； ②内容完整，但仅对部分内容进行详细描述的计5分； ③仅有框架或内容条理不清晰、混乱的计3分； ④内容缺一项或内容与项目无关的计2分； ⑤未提供本项不计分。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w:t>
            </w:r>
          </w:p>
          <w:p>
            <w:pPr>
              <w:pStyle w:val="null3"/>
            </w:pPr>
            <w:r>
              <w:rPr>
                <w:rFonts w:ascii="仿宋_GB2312" w:hAnsi="仿宋_GB2312" w:cs="仿宋_GB2312" w:eastAsia="仿宋_GB2312"/>
              </w:rPr>
              <w:t>其他证明资料</w:t>
            </w:r>
          </w:p>
        </w:tc>
      </w:tr>
      <w:tr>
        <w:tc>
          <w:tcPr>
            <w:tcW w:type="dxa" w:w="831"/>
            <w:vMerge/>
          </w:tcPr>
          <w:p/>
        </w:tc>
        <w:tc>
          <w:tcPr>
            <w:tcW w:type="dxa" w:w="1661"/>
          </w:tcPr>
          <w:p>
            <w:pPr>
              <w:pStyle w:val="null3"/>
            </w:pPr>
            <w:r>
              <w:rPr>
                <w:rFonts w:ascii="仿宋_GB2312" w:hAnsi="仿宋_GB2312" w:cs="仿宋_GB2312" w:eastAsia="仿宋_GB2312"/>
              </w:rPr>
              <w:t>工程质量技术组织措施</w:t>
            </w:r>
          </w:p>
        </w:tc>
        <w:tc>
          <w:tcPr>
            <w:tcW w:type="dxa" w:w="2492"/>
          </w:tcPr>
          <w:p>
            <w:pPr>
              <w:pStyle w:val="null3"/>
            </w:pPr>
            <w:r>
              <w:rPr>
                <w:rFonts w:ascii="仿宋_GB2312" w:hAnsi="仿宋_GB2312" w:cs="仿宋_GB2312" w:eastAsia="仿宋_GB2312"/>
              </w:rPr>
              <w:t>供应商针对本项目编制完善的工程质量技术组织措施，内容包含但不限于：质量目标管理体系、施工质量的检验制度、确保质量的技术组织措施。 评审标准： ①内容完整全面详细，且各项制度、措施等合理具体，内容能够紧扣项目实际情况，条理清晰的计7分； ②内容完整，但条理不清晰、措施不具体或无紧扣项目实际情况的计5分； ③内容缺1项的计2分； ④内容缺2项及以上缺项或内容粗略、逻辑混乱、出现常识性错误、存在不可能实现的夸大情形的计1分； ⑤未提供相关内容的不计分。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w:t>
            </w:r>
          </w:p>
        </w:tc>
      </w:tr>
      <w:tr>
        <w:tc>
          <w:tcPr>
            <w:tcW w:type="dxa" w:w="831"/>
            <w:vMerge/>
          </w:tcPr>
          <w:p/>
        </w:tc>
        <w:tc>
          <w:tcPr>
            <w:tcW w:type="dxa" w:w="1661"/>
          </w:tcPr>
          <w:p>
            <w:pPr>
              <w:pStyle w:val="null3"/>
            </w:pPr>
            <w:r>
              <w:rPr>
                <w:rFonts w:ascii="仿宋_GB2312" w:hAnsi="仿宋_GB2312" w:cs="仿宋_GB2312" w:eastAsia="仿宋_GB2312"/>
              </w:rPr>
              <w:t>文明施工技术组织措施</w:t>
            </w:r>
          </w:p>
        </w:tc>
        <w:tc>
          <w:tcPr>
            <w:tcW w:type="dxa" w:w="2492"/>
          </w:tcPr>
          <w:p>
            <w:pPr>
              <w:pStyle w:val="null3"/>
            </w:pPr>
            <w:r>
              <w:rPr>
                <w:rFonts w:ascii="仿宋_GB2312" w:hAnsi="仿宋_GB2312" w:cs="仿宋_GB2312" w:eastAsia="仿宋_GB2312"/>
              </w:rPr>
              <w:t>供应商针对本项目编制完善的文明施工技术组织措施，内容包含但不限于：安全文明施工目标及施工现场的临时管理措施、文明施工保障措施。 评审标准 ①内容完整全面详细、合理具体，内容能够紧扣项目实际情况，条理清晰的计7分； ②内容完整，但条理不清晰、措施不具体或无紧扣项目实际情况的计5分； ③内容缺1项的计2分； ④内容缺2项及以上缺项或内容粗略、逻辑混乱、出现常识性错误、存在不可能实现的夸大情形的计1分； ⑤未提供相关内容的不计分。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w:t>
            </w:r>
          </w:p>
        </w:tc>
      </w:tr>
      <w:tr>
        <w:tc>
          <w:tcPr>
            <w:tcW w:type="dxa" w:w="831"/>
            <w:vMerge/>
          </w:tcPr>
          <w:p/>
        </w:tc>
        <w:tc>
          <w:tcPr>
            <w:tcW w:type="dxa" w:w="1661"/>
          </w:tcPr>
          <w:p>
            <w:pPr>
              <w:pStyle w:val="null3"/>
            </w:pPr>
            <w:r>
              <w:rPr>
                <w:rFonts w:ascii="仿宋_GB2312" w:hAnsi="仿宋_GB2312" w:cs="仿宋_GB2312" w:eastAsia="仿宋_GB2312"/>
              </w:rPr>
              <w:t>安全生产的技术组织措施</w:t>
            </w:r>
          </w:p>
        </w:tc>
        <w:tc>
          <w:tcPr>
            <w:tcW w:type="dxa" w:w="2492"/>
          </w:tcPr>
          <w:p>
            <w:pPr>
              <w:pStyle w:val="null3"/>
            </w:pPr>
            <w:r>
              <w:rPr>
                <w:rFonts w:ascii="仿宋_GB2312" w:hAnsi="仿宋_GB2312" w:cs="仿宋_GB2312" w:eastAsia="仿宋_GB2312"/>
              </w:rPr>
              <w:t>供应商针对本项目编制完善的安全生产的技术组织措施，内容包含但不限于：安全管理体系、安全责任归属划分、安全标识：安全警戒标语、施工人员安全警示服和安全帽穿配要求、安全教育培训等。 评审标准 ①内容完整全面详细、合理具体，内容能够紧扣项目实际情况，条理清晰的计6分； ②内容完整，但条理不清晰、措施不具体或无紧扣项目实际情况的计4分； ③内容缺1项的计2分； ④内容缺2项及以上缺项或内容粗略、逻辑混乱、出现常识性错误、存在不可能实现的夸大情形的计1分； ⑤未提供相关内容的不计分。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w:t>
            </w:r>
          </w:p>
        </w:tc>
      </w:tr>
      <w:tr>
        <w:tc>
          <w:tcPr>
            <w:tcW w:type="dxa" w:w="831"/>
            <w:vMerge/>
          </w:tcPr>
          <w:p/>
        </w:tc>
        <w:tc>
          <w:tcPr>
            <w:tcW w:type="dxa" w:w="1661"/>
          </w:tcPr>
          <w:p>
            <w:pPr>
              <w:pStyle w:val="null3"/>
            </w:pPr>
            <w:r>
              <w:rPr>
                <w:rFonts w:ascii="仿宋_GB2312" w:hAnsi="仿宋_GB2312" w:cs="仿宋_GB2312" w:eastAsia="仿宋_GB2312"/>
              </w:rPr>
              <w:t>工期的技术组织措施</w:t>
            </w:r>
          </w:p>
        </w:tc>
        <w:tc>
          <w:tcPr>
            <w:tcW w:type="dxa" w:w="2492"/>
          </w:tcPr>
          <w:p>
            <w:pPr>
              <w:pStyle w:val="null3"/>
            </w:pPr>
            <w:r>
              <w:rPr>
                <w:rFonts w:ascii="仿宋_GB2312" w:hAnsi="仿宋_GB2312" w:cs="仿宋_GB2312" w:eastAsia="仿宋_GB2312"/>
              </w:rPr>
              <w:t>供应商针对本项目编制完善的工期的技术组织措施，内容包含但不限于：施工组织与工期保证措施、特殊情况保证：夜间、雨季、高温等情况。 评审标准 ①内容完整全面详细、合理具体，内容能够紧扣项目实际情况，条理清晰的计6分； ②内容完整，但条理不清晰、措施不具体或无紧扣项目实际情况的计4分； ③仅有框架，无实质性实施内容的或内容宽泛的计2分； ④内容缺1项及以上的或内容粗略、逻辑混乱、出现常识性错误、存在不可能实现的夸大情形的计1分； ⑤未提供相关内容的不计分。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w:t>
            </w:r>
          </w:p>
        </w:tc>
      </w:tr>
      <w:tr>
        <w:tc>
          <w:tcPr>
            <w:tcW w:type="dxa" w:w="831"/>
            <w:vMerge/>
          </w:tcPr>
          <w:p/>
        </w:tc>
        <w:tc>
          <w:tcPr>
            <w:tcW w:type="dxa" w:w="1661"/>
          </w:tcPr>
          <w:p>
            <w:pPr>
              <w:pStyle w:val="null3"/>
            </w:pPr>
            <w:r>
              <w:rPr>
                <w:rFonts w:ascii="仿宋_GB2312" w:hAnsi="仿宋_GB2312" w:cs="仿宋_GB2312" w:eastAsia="仿宋_GB2312"/>
              </w:rPr>
              <w:t>施工机械</w:t>
            </w:r>
          </w:p>
        </w:tc>
        <w:tc>
          <w:tcPr>
            <w:tcW w:type="dxa" w:w="2492"/>
          </w:tcPr>
          <w:p>
            <w:pPr>
              <w:pStyle w:val="null3"/>
            </w:pPr>
            <w:r>
              <w:rPr>
                <w:rFonts w:ascii="仿宋_GB2312" w:hAnsi="仿宋_GB2312" w:cs="仿宋_GB2312" w:eastAsia="仿宋_GB2312"/>
              </w:rPr>
              <w:t>供应商针对本项目编制完善的施工机械，内容包含但不限于：拟投入的主要施工机械设备计划。 评审标准 ①内容完整全面详细、合理具体，内容能够紧扣项目实际情况，条理清晰的计6分； ②内容完整，但条理不清晰、计划不具体或无紧扣项目实际情况的计4分； ③仅有框架，无实质性实施内容的或内容宽泛的计2分； ④内容粗略、逻辑混乱、出现常识性错误、存在不可能实现的夸大情形的计1分； ⑤未提供相关内容的不计分。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w:t>
            </w:r>
          </w:p>
        </w:tc>
      </w:tr>
      <w:tr>
        <w:tc>
          <w:tcPr>
            <w:tcW w:type="dxa" w:w="831"/>
            <w:vMerge/>
          </w:tcPr>
          <w:p/>
        </w:tc>
        <w:tc>
          <w:tcPr>
            <w:tcW w:type="dxa" w:w="1661"/>
          </w:tcPr>
          <w:p>
            <w:pPr>
              <w:pStyle w:val="null3"/>
            </w:pPr>
            <w:r>
              <w:rPr>
                <w:rFonts w:ascii="仿宋_GB2312" w:hAnsi="仿宋_GB2312" w:cs="仿宋_GB2312" w:eastAsia="仿宋_GB2312"/>
              </w:rPr>
              <w:t>施工进度网络图或施工进度表</w:t>
            </w:r>
          </w:p>
        </w:tc>
        <w:tc>
          <w:tcPr>
            <w:tcW w:type="dxa" w:w="2492"/>
          </w:tcPr>
          <w:p>
            <w:pPr>
              <w:pStyle w:val="null3"/>
            </w:pPr>
            <w:r>
              <w:rPr>
                <w:rFonts w:ascii="仿宋_GB2312" w:hAnsi="仿宋_GB2312" w:cs="仿宋_GB2312" w:eastAsia="仿宋_GB2312"/>
              </w:rPr>
              <w:t>供应商针对本项目编制完善的施工进度网络图或施工进度表，内容包含但不限于：施工总进度、施工进度目标和施工总进度计划表/图、施工进度保障措施等。 评审标准 ①内容完整全面详细、合理具体，内容能够紧扣项目实际情况，条理清晰的计6分； ②内容完整，但条理不清晰、措施不具体或无紧扣项目实际情况的计4分； ③仅有框架，无实质性实施内容的或内容宽泛的计2分； ④内容缺1项及以上的或内容粗略、逻辑混乱、出现常识性错误、存在不可能实现的夸大情形的计1分；⑤未提供相关内容的不计分。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供应商针对本项目编制完善的劳动力安排计划，内容包含但不限于：①劳动力投入计划，②劳动力保障措施。 评审标准 ①内容完整全面详细、合理具体，内容能够紧扣项目实际情况，条理清晰的计6分； ②内容完整，但条理不清晰、措施不具体或无紧扣项目实际情况的计4分； ③仅有框架，无实质性实施内容的或内容宽泛的计2分； ④内容缺1项及以上的或内容粗略、逻辑混乱、出现常识性错误、存在不可能实现的夸大情形的计1分； ⑤未提供相关内容的不计分。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供应商针对本项目编制完善的项目经理部组织机构，内容包含但不限于：项目成员配置清单及架构、项目组配备人员的专业经验、人员结构、项目成员的主要职责及工作内容等。 评审标准 ①内容完整全面详细、合理具体，内容能够紧扣项目实际情况，条理清晰的计7分； ②内容完整，但条理不清晰、人员结构不具体或无紧扣项目实际情况的计5分； ③仅有框架，无实质性实施内容的或内容宽泛的计3分； ④内容缺1项及以上的或内容粗略、逻辑混乱、出现常识性错误、存在不可能实现的夸大情形的计1分； ⑤未提供相关内容的不计分。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满足详细评审办法的内容</w:t>
            </w:r>
          </w:p>
        </w:tc>
      </w:tr>
      <w:tr>
        <w:tc>
          <w:tcPr>
            <w:tcW w:type="dxa" w:w="831"/>
            <w:vMerge/>
          </w:tcPr>
          <w:p/>
        </w:tc>
        <w:tc>
          <w:tcPr>
            <w:tcW w:type="dxa" w:w="1661"/>
          </w:tcPr>
          <w:p>
            <w:pPr>
              <w:pStyle w:val="null3"/>
            </w:pPr>
            <w:r>
              <w:rPr>
                <w:rFonts w:ascii="仿宋_GB2312" w:hAnsi="仿宋_GB2312" w:cs="仿宋_GB2312" w:eastAsia="仿宋_GB2312"/>
              </w:rPr>
              <w:t>施工保修方案</w:t>
            </w:r>
          </w:p>
        </w:tc>
        <w:tc>
          <w:tcPr>
            <w:tcW w:type="dxa" w:w="2492"/>
          </w:tcPr>
          <w:p>
            <w:pPr>
              <w:pStyle w:val="null3"/>
            </w:pPr>
            <w:r>
              <w:rPr>
                <w:rFonts w:ascii="仿宋_GB2312" w:hAnsi="仿宋_GB2312" w:cs="仿宋_GB2312" w:eastAsia="仿宋_GB2312"/>
              </w:rPr>
              <w:t>结合本项目的实际，供应商应提供详细、完善的施工保修承诺，内容包含: ①保修范围及措施;②保修责任;③保修承诺。评审标准 ①内容完整全面详细、合理具体，内容能够紧扣项目实际情况，条理清晰的计6分； ②内容完整，但条理不清晰、措施不具体或无紧扣项目实际情况的计4分； ③仅有框架，无实质性实施内容的或内容宽泛的计2分； ④内容缺1项及以上的或内容粗略、逻辑混乱、出现常识性错误、存在不可能实现的夸大情形的计1分； ⑤未提供相关内容的不计分。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以合同形式提供供应商2023年01月1日至今类似项目业绩，每份计2.5分，计满5分为止。（以合同签订时间为准，附完整合同复印件）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满足竞争性磋商文件要求的最终报价最低价作为评标基准价，其价格为满分。其他供应商的报价得分按下列公式计算：报价得分=（评标基准价／磋商报价）×30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详见附件：满足详细评审办法的内容</w:t>
      </w:r>
    </w:p>
    <w:p>
      <w:pPr>
        <w:pStyle w:val="null3"/>
        <w:ind w:firstLine="960"/>
      </w:pPr>
      <w:r>
        <w:rPr>
          <w:rFonts w:ascii="仿宋_GB2312" w:hAnsi="仿宋_GB2312" w:cs="仿宋_GB2312" w:eastAsia="仿宋_GB2312"/>
        </w:rPr>
        <w:t>详见附件：其他证明资料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