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版本号：DZDL-2026-008Z20260416002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2026年铜川人社一体化公共服务平台运维项目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DZDL-2026-008Z</w:t>
      </w:r>
      <w:r>
        <w:br/>
      </w:r>
      <w:r>
        <w:br/>
      </w:r>
      <w:r>
        <w:br/>
      </w:r>
    </w:p>
    <w:p>
      <w:pPr>
        <w:pStyle w:val="null3"/>
        <w:jc w:val="center"/>
        <w:outlineLvl w:val="2"/>
      </w:pPr>
      <w:r>
        <w:rPr>
          <w:rFonts w:ascii="仿宋_GB2312" w:hAnsi="仿宋_GB2312" w:cs="仿宋_GB2312" w:eastAsia="仿宋_GB2312"/>
          <w:sz w:val="28"/>
          <w:b/>
        </w:rPr>
        <w:t>铜川市人力资源和社会保障局</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铜川市人力资源和社会保障局</w:t>
      </w:r>
      <w:r>
        <w:rPr>
          <w:rFonts w:ascii="仿宋_GB2312" w:hAnsi="仿宋_GB2312" w:cs="仿宋_GB2312" w:eastAsia="仿宋_GB2312"/>
        </w:rPr>
        <w:t>委托，拟对</w:t>
      </w:r>
      <w:r>
        <w:rPr>
          <w:rFonts w:ascii="仿宋_GB2312" w:hAnsi="仿宋_GB2312" w:cs="仿宋_GB2312" w:eastAsia="仿宋_GB2312"/>
        </w:rPr>
        <w:t>2026年铜川人社一体化公共服务平台运维项目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DZDL-2026-008Z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2026年铜川人社一体化公共服务平台运维项目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铜川市人力资源和社会保障局拟采购一家2026年铜川人社一体化公共服务平台运维服务供应商。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采购包1（2026年铜川人社一体化公共服务平台运维项目）：属于专门面向小微企业采购。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税种须为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 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铜川市人力资源和社会保障局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铜川市新区齐庆路2号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0919-3185565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朱娟 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029-88861150转615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财库〔2018〕2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铜川市人力资源和社会保障局</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铜川市人力资源和社会保障局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铜川市人力资源和社会保障局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供货合同、中标（成交）供应商投标文件、采购文件及采购人合同履行验收等相关规定。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联系人：朱娟 董蔷芳</w:t>
      </w:r>
    </w:p>
    <w:p>
      <w:pPr>
        <w:pStyle w:val="null3"/>
      </w:pPr>
      <w:r>
        <w:rPr>
          <w:rFonts w:ascii="仿宋_GB2312" w:hAnsi="仿宋_GB2312" w:cs="仿宋_GB2312" w:eastAsia="仿宋_GB2312"/>
        </w:rPr>
        <w:t>联系电话：029-88861150转615</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铜川市人力资源和社会保障局拟采购一家2026年铜川人社一体化公共服务平台运维服务供应商。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700,040.00</w:t>
      </w:r>
    </w:p>
    <w:p>
      <w:pPr>
        <w:pStyle w:val="null3"/>
      </w:pPr>
      <w:r>
        <w:rPr>
          <w:rFonts w:ascii="仿宋_GB2312" w:hAnsi="仿宋_GB2312" w:cs="仿宋_GB2312" w:eastAsia="仿宋_GB2312"/>
        </w:rPr>
        <w:t>采购包最高限价（元）: 700,040.00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2026年铜川人社一体化公共服务平台运维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700,040.00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标的名称：2026年铜川人社一体化公共服务平台运维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79"/>
              <w:gridCol w:w="321"/>
              <w:gridCol w:w="625"/>
              <w:gridCol w:w="588"/>
            </w:tblGrid>
            <w:tr>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系统名称</w:t>
                  </w:r>
                </w:p>
              </w:tc>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功能模块</w:t>
                  </w:r>
                </w:p>
              </w:tc>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运维内容</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一体化受理平台</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服务事项管理、逾期催办、反馈通知、通知消息、服务咨询、业务统计、社会保险办事、就业创业办事、人事人才办事、劳动关系办事、线上线下办事、统一受理管理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保障全市单位用户和个人用户办理劳动就业、城镇职工养老保险、城乡居民养老保险、社保卡等业务线上线下渠道服务的正常运行。</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工伤保险核心系统及工伤认定鉴定系统</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单位基本信息查询、人员基本信息查询、参保登记查询、申报缴费查询、基金征集查询、工伤待遇核定查询、工伤待遇管理查询、通用查询、认定信息查询、鉴定信息查询</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所有功能及历史数据的查询统计服务。</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铜川人社门户网站</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新闻中心、政务公开、人社服务、互动交流、专题专栏就业创业、社会保险、人事人才、劳动关系、社会保障卡、后台管理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保障市人社局门户网站正常运行</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铜川人社微信小程序</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社会保险、就业服务、社保卡服务、劳动监察等手机掌上业务办理、服务目录事项查询、政策解读、政策咨询等查询咨询业务</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保障铜川人社微信小程序的正常运行，包括给个人用户提供的社会保险业务办理、就业服务、个人权益查询及打印、服务目录事项查询、政策解读、社保卡服务等业务。</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铜川社保卡服务平台</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社保卡制卡申请、照片上传、制卡审核、社保卡密码修改、社保卡密码重置、社保卡挂失、社保卡解挂、社保卡制卡进度查询等社保卡管理信息</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保障社保卡全生命周期过程管理，包括社保卡制卡申请、照片上传、制卡审核、密码修改、密码重置挂失解挂、社保卡制卡进度查询等社保卡业务。</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铜川人社考试系统</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用户注册、网上报名、考试项目管理、考点维护、报名信息审核、导入准考证、成绩发布、综合查询</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保障市人社局组织考试网上报名、打印准考证、成绩查询等日常管理。</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电子档案管理系统</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档案采集、档案整理、档案库管理、档案应用、档案统计、档案设置、日志管理、系统管理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保障市人社局电子档案管理系统的正常运行，支撑城镇职工企业养老保险、城乡居民养老保险、劳动就业等一体化受理平台等业务系统的电子档案。</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铜川人社数据共享平台</w:t>
                  </w: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资源信息、数据信息、主题管理、服务管理、权限管理用户授权、申请审批、注册审批、下载审批、数据共享管理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保障铜川人社数据共享对内业务和对外业务的正常运行，协同业务系统办理。</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1.符合采购人与成交供应商签订的服务合同; 2.符合采购文件、采购需求的技术服务要求、商务要求，以及符合供应商的响应文件及磋商结果; 3.符合产品原样本技术数据; 4.符合国家有关技术规范和标准; 5.验收方式 合同双方共同参照采购文件、响应文件、合同和承诺条款的有关内容、配置要求等，采购人在收到成交供应商验收通知书及相关验收资料后通知成交供应商，甲乙双方共同对系统进行验收，并由成交供应商将验收报告提交采购人。 验收工作由采购人、财政部门及相关专家共同完成，经相关负责人确认验收通过并签字、盖章，则视为甲乙双方确认验收通过。验收过程和步骤应符合财政部门的有关规定，符合使用单位要求。除非采购人以书面方式同意予以免除，否则对于合同中约定的硬件产品，采购人均有权选择单独，或要求成交供应商协助对产品加电联通进行测试性运行或使用，以确定产品是否符合本合同约定。 7.采购人对交付成果提出异议的，成交供应商应在接到异议之日起5个工作日内，选择以下一种或多种方式解决异议，相应的异议处理方式应经采购人认可： 1)上门修复、调试; 2)指定时间内免费更新到品质、性能更优良的软件系统。</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2026年第三季度</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2026年第四季度</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时，成交供应商未按约定完成本协议约定的维保服务的，或未按约定提供软件产品更新、补丁、版本升级的，采购人有权要求成交供应商继续履行或采取补救措施，采购人同时有权就每一违约事件按照总价款的10%向成交供应商收取违约金，违约金不足以补偿采购人损失的，成交供应商还应当赔偿采购人相应损失;成交供应商违约行为给采购人造成重大损失的，采购人同时有权解除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须为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 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响应文件的签章均符合采购文件要求，且无遗漏。</w:t>
            </w:r>
          </w:p>
        </w:tc>
        <w:tc>
          <w:tcPr>
            <w:tcW w:type="dxa" w:w="1661"/>
          </w:tcPr>
          <w:p>
            <w:pPr>
              <w:pStyle w:val="null3"/>
            </w:pPr>
            <w:r>
              <w:rPr>
                <w:rFonts w:ascii="仿宋_GB2312" w:hAnsi="仿宋_GB2312" w:cs="仿宋_GB2312" w:eastAsia="仿宋_GB2312"/>
              </w:rPr>
              <w:t>响应文件封面 分项报价表.docx 合同文本条款响应.docx 标的清单 报价表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同时满足以下条款：（1）货币单位符合采购文件要求 ；（2）未超出采购预算或最高限价 ；（3）符合《分项报价表》、《报价表》及《标的清单》的填报要求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完全理解并接受对合格供应商、合格的货物、工程或服务要求，结合采购文件第三章“磋商项目技术、服务、商务及其他要求”的实质性要求且没有负偏离。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完全理解并接受采购文件《合同文本》条款的要求，且未有采购人不能接受的附加条件的。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报价表 资格证明文件.docx 供应商承诺书.docx 响应文件封面 分项报价表.docx 合同文本条款响应.docx 残疾人福利性单位声明函 服务方案 标的清单 项目实施人员情况表.docx 响应函 监狱企业的证明文件 类似项目业绩汇总表.docx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根据拟派项目负责人的技术能力及从业经验进行赋分。项目负责人经验丰富，具备相关专业技术能力的证明材料得3分；项目负责人经验丰富，没有明确的相关专业技术能力的证明材料得2分；项目负责人经验较为丰富，没有明确的相关专业技术能力的证明材料得1分；未提供或项目负责人没有能明确达到本项目相关技术要求的得0分。 评审依据：以加盖供应商公章的人员从业经验承诺或说明、相关资格证书及截止时间前近一年内任意一月的社保证明。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技术服务团队</w:t>
            </w:r>
          </w:p>
        </w:tc>
        <w:tc>
          <w:tcPr>
            <w:tcW w:type="dxa" w:w="2492"/>
          </w:tcPr>
          <w:p>
            <w:pPr>
              <w:pStyle w:val="null3"/>
            </w:pPr>
            <w:r>
              <w:rPr>
                <w:rFonts w:ascii="仿宋_GB2312" w:hAnsi="仿宋_GB2312" w:cs="仿宋_GB2312" w:eastAsia="仿宋_GB2312"/>
              </w:rPr>
              <w:t>技术服务团队（除项目负责人）组织架构完整，岗位设置合理、明确，投入人员专业性、经验性强，对本项目有针对性得8分；技术服务团队（除项目负责人）组织架构基本完整，岗位设置基本合理，能够基本满足本项目采购要求得5分；技术服务团队（除项目负责人）组织架构完善程度一般，人员岗位设置合理性一般，人员专业性、经验性一般得3分。 评审依据：1.以加盖供应商公章的人员从业经验承诺或说明、相关资格证书及截止时间前近一年内任意一月的社保证明。2.技术服务团队中驻场人员不少于2个，远程技术支持人员不少于4个，否则本项不得分。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技术支持与服务方案</w:t>
            </w:r>
          </w:p>
        </w:tc>
        <w:tc>
          <w:tcPr>
            <w:tcW w:type="dxa" w:w="2492"/>
          </w:tcPr>
          <w:p>
            <w:pPr>
              <w:pStyle w:val="null3"/>
            </w:pPr>
            <w:r>
              <w:rPr>
                <w:rFonts w:ascii="仿宋_GB2312" w:hAnsi="仿宋_GB2312" w:cs="仿宋_GB2312" w:eastAsia="仿宋_GB2312"/>
              </w:rPr>
              <w:t>针对本项目提出详细的服务方案，包括：①总体运维服务方案；②驻场保障方案；③业务连续性方案（不限于针对业务现状提出有效、可行的业务连续性方案，方案满足出现应急状况、节假日安排、重大活动保障等阶段的服务需求等）；④运维制度；⑤运维计划；⑥响应时限；⑦操作规程；⑧风险管理。每一评审项完全满足项目需求得3分，满分24分。方案内容中有缺陷，指项目需求不匹配或不能满足项目实施要求及其他不利于项目实施的该评审项得1分。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方案包括：①运维服务人员与供应商签订的保密承诺书；②信息安全及保密管理制度；③保密措施。每一评审项完全满足项目需求得3分，满分9分。人员配置中有缺陷，指项目需求不匹配或不能满足项目实施要求及其他不利于项目实施的该评审项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岗位制度</w:t>
            </w:r>
          </w:p>
        </w:tc>
        <w:tc>
          <w:tcPr>
            <w:tcW w:type="dxa" w:w="2492"/>
          </w:tcPr>
          <w:p>
            <w:pPr>
              <w:pStyle w:val="null3"/>
            </w:pPr>
            <w:r>
              <w:rPr>
                <w:rFonts w:ascii="仿宋_GB2312" w:hAnsi="仿宋_GB2312" w:cs="仿宋_GB2312" w:eastAsia="仿宋_GB2312"/>
              </w:rPr>
              <w:t>供应商针对本项目提出完整的岗位制度，包括：①岗位工作标准；②奖惩措施；③岗位流程体系；④岗位考核。每一评审项完全满足项目需求得3分，满分12分。方案内容中有缺陷，指项目需求不匹配或不能满足项目实施要求及其他不利于项目实施的该评审项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供应商针对本项目有具体可行的保障方案，包括：①质量保障措施；②服务承诺；③安全保障措施；④优化升级。每一评审项完全满足项目需求得3分，满分12分。方案内容中有缺陷，指项目需求不匹配或不能满足项目实施要求及其他不利于项目实施的该评审项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有具体可行的应急预案，包括：①应急预案详述；②应急工作流程及应急人员安排；③应急措施；④故障维修响应时间。每一评审项完全满足项目需求得3分，满分12分。方案内容中有缺陷，指项目需求不匹配或不能满足项目实施要求及其他不利于项目实施的该评审项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提供供应商2023年1月1日至今（以合同签订日期为准）同类项目业绩合同，每份计2分，满分10分。 注：提供合同扫描件并加盖供应商公章，未提供不得分。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详见附件：类似项目业绩汇总表.docx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