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版本号：SXGLZFCG2026-006号20260415002</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铜川纪检监察“监务通”移动办公平台项目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SXGLZFCG2026-006号</w:t>
      </w:r>
      <w:r>
        <w:br/>
      </w:r>
      <w:r>
        <w:br/>
      </w:r>
      <w:r>
        <w:br/>
      </w:r>
    </w:p>
    <w:p>
      <w:pPr>
        <w:pStyle w:val="null3"/>
        <w:jc w:val="center"/>
        <w:outlineLvl w:val="5"/>
      </w:pPr>
      <w:r>
        <w:rPr>
          <w:rFonts w:ascii="仿宋_GB2312" w:hAnsi="仿宋_GB2312" w:cs="仿宋_GB2312" w:eastAsia="仿宋_GB2312"/>
          <w:sz w:val="15"/>
          <w:b/>
        </w:rPr>
        <w:t>中共铜川市纪律检查委员会</w:t>
      </w:r>
    </w:p>
    <w:p>
      <w:pPr>
        <w:pStyle w:val="null3"/>
        <w:jc w:val="center"/>
        <w:outlineLvl w:val="5"/>
      </w:pPr>
      <w:r>
        <w:rPr>
          <w:rFonts w:ascii="仿宋_GB2312" w:hAnsi="仿宋_GB2312" w:cs="仿宋_GB2312" w:eastAsia="仿宋_GB2312"/>
          <w:sz w:val="15"/>
          <w:b/>
        </w:rPr>
        <w:t>陕西公立工程项目管理咨询有限公司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陕西公立工程项目管理咨询有限公司</w:t>
      </w:r>
      <w:r>
        <w:rPr>
          <w:rFonts w:ascii="仿宋_GB2312" w:hAnsi="仿宋_GB2312" w:cs="仿宋_GB2312" w:eastAsia="仿宋_GB2312"/>
        </w:rPr>
        <w:t>（以下简称“代理机构”）受</w:t>
      </w:r>
      <w:r>
        <w:rPr>
          <w:rFonts w:ascii="仿宋_GB2312" w:hAnsi="仿宋_GB2312" w:cs="仿宋_GB2312" w:eastAsia="仿宋_GB2312"/>
        </w:rPr>
        <w:t>中共铜川市纪律检查委员会</w:t>
      </w:r>
      <w:r>
        <w:rPr>
          <w:rFonts w:ascii="仿宋_GB2312" w:hAnsi="仿宋_GB2312" w:cs="仿宋_GB2312" w:eastAsia="仿宋_GB2312"/>
        </w:rPr>
        <w:t>委托，拟对</w:t>
      </w:r>
      <w:r>
        <w:rPr>
          <w:rFonts w:ascii="仿宋_GB2312" w:hAnsi="仿宋_GB2312" w:cs="仿宋_GB2312" w:eastAsia="仿宋_GB2312"/>
        </w:rPr>
        <w:t>铜川纪检监察“监务通”移动办公平台项目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SXGLZFCG2026-006号</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铜川纪检监察“监务通”移动办公平台项目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具体内容详见文件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负责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2、财务状况报告：提供（1）或提供（2）：（1）提供2024年度财务报告复印件，应满足以下要求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p>
      <w:pPr>
        <w:pStyle w:val="null3"/>
      </w:pPr>
      <w:r>
        <w:rPr>
          <w:rFonts w:ascii="仿宋_GB2312" w:hAnsi="仿宋_GB2312" w:cs="仿宋_GB2312" w:eastAsia="仿宋_GB2312"/>
        </w:rPr>
        <w:t>3、税收缴纳证明：提供2025年6月至今任意连续3个月已缴纳的纳税证明或完税证明（成立未满3个月的单位提供相关证明和材料），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社会保障资金缴纳证明：提供2025年6月至今任意连续3个月已缴纳的社会保障资金缴存单据或社保机构开具的社会保险参保缴费情况证明（成立未满3个月的单位提供相关证明和材料），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5、信用查询：供应商不得列入“信用中国(www.creditchina.gov.cn)”中严重失信主体名单和重大税收违法失信主体名单，不得为“中国政府采购网(www.ccgp.gov.cn)” 政府采购严重违法失信行为记录名单中被财政部门禁止参加政府采购活动的供应商；供应商需在项目电子化交易系统中按要求上传相应证明文件并进行电子签章。</w:t>
      </w:r>
    </w:p>
    <w:p>
      <w:pPr>
        <w:pStyle w:val="null3"/>
      </w:pPr>
      <w:r>
        <w:rPr>
          <w:rFonts w:ascii="仿宋_GB2312" w:hAnsi="仿宋_GB2312" w:cs="仿宋_GB2312" w:eastAsia="仿宋_GB2312"/>
        </w:rPr>
        <w:t>6、设备和专业技术能力承诺：具有履行合同所必需的设备和专业技术能力，提供证明材料或书面承诺并加盖公章。</w:t>
      </w:r>
    </w:p>
    <w:p>
      <w:pPr>
        <w:pStyle w:val="null3"/>
      </w:pPr>
      <w:r>
        <w:rPr>
          <w:rFonts w:ascii="仿宋_GB2312" w:hAnsi="仿宋_GB2312" w:cs="仿宋_GB2312" w:eastAsia="仿宋_GB2312"/>
        </w:rPr>
        <w:t>7、无重大违法记录声明：参加政府采购活动近三年内，在经营活动中没有重大违法记录，提供书面声明。</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中共铜川市纪律检查委员会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陕西省铜川市新区政务大楼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737031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中共铜川市纪律检查委员会经办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0919-3283270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陕西公立工程项目管理咨询有限公司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陕西省铜川市耀州区陕西省铜川市新区朝阳路鸿翔逸境1号楼1-4层商业区三楼304、305室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0919-2182986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采购包1：2,316,580.00元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采购包1：2,316,580.00元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代理服务费的金额参照《国家计委关于印发&lt;招标代理服务收费管理暂行办法&gt;的通知》（计价格[2002]1980号）和国家发改委办公厅颁发的《关于招标代理服务收费有关问题的通知》（发改办价格【2003】857号）、《国家发展改革委关于降低部分建设项目收费标准规范收费行为等有关问题的通知》（发改价格[2011]534号）的有关规定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中共铜川市纪律检查委员会</w:t>
      </w:r>
      <w:r>
        <w:rPr>
          <w:rFonts w:ascii="仿宋_GB2312" w:hAnsi="仿宋_GB2312" w:cs="仿宋_GB2312" w:eastAsia="仿宋_GB2312"/>
        </w:rPr>
        <w:t>和</w:t>
      </w:r>
      <w:r>
        <w:rPr>
          <w:rFonts w:ascii="仿宋_GB2312" w:hAnsi="仿宋_GB2312" w:cs="仿宋_GB2312" w:eastAsia="仿宋_GB2312"/>
        </w:rPr>
        <w:t>陕西公立工程项目管理咨询有限公司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陕西公立工程项目管理咨询有限公司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中共铜川市纪律检查委员会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陕西公立工程项目管理咨询有限公司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按时按质按量按标准完成</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陕西公立工程项目管理咨询有限公司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铜川纪检监察“监务通”移动办公平台项目，具体内容详见单一来源谈判文件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2,316,580.00</w:t>
      </w:r>
    </w:p>
    <w:p>
      <w:pPr>
        <w:pStyle w:val="null3"/>
      </w:pPr>
      <w:r>
        <w:rPr>
          <w:rFonts w:ascii="仿宋_GB2312" w:hAnsi="仿宋_GB2312" w:cs="仿宋_GB2312" w:eastAsia="仿宋_GB2312"/>
        </w:rPr>
        <w:t>采购包最高限价（元）: 2,316,580.00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铜川纪检监察监务通移动办公平台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2,316,580.00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标的名称：铜川纪检监察监务通移动办公平台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349"/>
              <w:gridCol w:w="1728"/>
              <w:gridCol w:w="235"/>
              <w:gridCol w:w="235"/>
            </w:tblGrid>
            <w:tr>
              <w:tc>
                <w:tcPr>
                  <w:tcW w:type="dxa" w:w="3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项目</w:t>
                  </w:r>
                </w:p>
              </w:tc>
              <w:tc>
                <w:tcPr>
                  <w:tcW w:type="dxa" w:w="1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服务要求</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“监务通”平台安全接入授权服务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接入省</w:t>
                  </w:r>
                  <w:r>
                    <w:rPr>
                      <w:rFonts w:ascii="仿宋_GB2312" w:hAnsi="仿宋_GB2312" w:cs="仿宋_GB2312" w:eastAsia="仿宋_GB2312"/>
                      <w:sz w:val="22"/>
                      <w:color w:val="000000"/>
                    </w:rPr>
                    <w:t>“监务通”现有平台，满足“终端加固”、“信道加密”、 “认证接入”、 “访问控制”、 “ 网闸隔离”等多重安全措施。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移动终端管理系统服务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含终端管理和移动应用管理两部分内容。通过远程指令控制、用户行为检测及安全策略管理等方式，对专用移动终端进行数据采集、检测、审计，保障终端的安全合规运行；对设备进行全生命周期管理，擦除等操作。</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执纪移动终端服务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执纪终端支持专属定制服务、安全接入、身份认证、应用管理、系统保护功能。</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平台接入交互数据加密服务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平台支持</w:t>
                  </w:r>
                  <w:r>
                    <w:rPr>
                      <w:rFonts w:ascii="仿宋_GB2312" w:hAnsi="仿宋_GB2312" w:cs="仿宋_GB2312" w:eastAsia="仿宋_GB2312"/>
                      <w:sz w:val="22"/>
                      <w:color w:val="000000"/>
                    </w:rPr>
                    <w:t>“监务通”平台移动终端接入交互数据加密。</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r>
              <w:tc>
                <w:tcPr>
                  <w:tcW w:type="dxa" w:w="3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监务通移动办公应用</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1、综合办公子系统:  实现各类文件、文档模板管理，可接收市级系统内发送的公文，支持单位内部用户之间的自由事务发起等常用功能。</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2、移动端子系统:  1）配置用户应用终端，提供个人工作台功能，包括：个人事项办理、个人日程安排、个人收藏等功能；2）提供门户个人信息管理、系统消息管理等设置。</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3、在线学习考试系统:  提供在线音视频学习资料的浏览，可参加由省市级单位组织的考试。</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4、法规制度库:  与中央纪委监委法规制度库对接，可以直接搜索并查看相关法律、法规。</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5、电子通讯录:  管理机关常用的联系方式，导入到电子通讯录当中，通过移动端直接查看，支持通过姓名、机构模糊查询等。</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6、通知公告:  通知公告支持单位内部各类咨询、信息的发布与管理等。</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7、本级收发文办理:  公文全过程管理，包括各类发文以及各类内部文件、外部文件的形成、流转、办结和预归档。具体包括发文管理、收文管理、公文督办等功能。</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8、新闻咨询:  可以将各单位门户网站的信息同步到移动端，并进行页面适配。</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9、会议办理:  通过对会议室的管理使用，完成会前会议通知等功能。</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10、物资申领:  实现物资申领的线上办理，包含物料申请审批等。</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11、工资查询:  实现将工资通过表格导入到系统，终端用户可以查询本人工资并形成相关报表。</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12、车辆派遣:  实现机关车辆管理、申请管理等统计。</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13、请休假审批单:  根据纪委机关需求，提供定制化服务，根据请休假类型及天数生成不同审批路径。</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14、 出差审批表:  实时发起出差表审批，追踪审批环节，线上溯查出差路线及时间等详情。</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 档案案件查阅:  可详细记录查阅人员、查阅时间及档案名称、类别等信息。</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vMerge/>
                  <w:tcBorders>
                    <w:top w:val="none" w:color="000000" w:sz="4"/>
                    <w:left w:val="single" w:color="000000" w:sz="4"/>
                    <w:bottom w:val="single" w:color="000000" w:sz="4"/>
                    <w:right w:val="single" w:color="000000" w:sz="4"/>
                  </w:tcBorders>
                </w:tcP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16、干部外出报备单:  通过表单的发起与审批，可对外出干部的出行地点、出行时长及外出事由等信息详细记录，方便查询。</w:t>
                  </w:r>
                </w:p>
              </w:tc>
              <w:tc>
                <w:tcPr>
                  <w:tcW w:type="dxa" w:w="235"/>
                  <w:vMerge/>
                  <w:tcBorders>
                    <w:top w:val="none" w:color="000000" w:sz="4"/>
                    <w:left w:val="none" w:color="000000" w:sz="4"/>
                    <w:bottom w:val="single" w:color="000000" w:sz="4"/>
                    <w:right w:val="single" w:color="000000" w:sz="4"/>
                  </w:tcBorders>
                </w:tcPr>
                <w:p/>
              </w:tc>
              <w:tc>
                <w:tcPr>
                  <w:tcW w:type="dxa" w:w="235"/>
                  <w:vMerge/>
                  <w:tcBorders>
                    <w:top w:val="none" w:color="000000" w:sz="4"/>
                    <w:left w:val="none" w:color="000000" w:sz="4"/>
                    <w:bottom w:val="single" w:color="000000" w:sz="4"/>
                    <w:right w:val="single" w:color="000000" w:sz="4"/>
                  </w:tcBorders>
                </w:tcP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工商大数据查询</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提供企业与个人的工商信息查询，</w:t>
                  </w:r>
                  <w:r>
                    <w:rPr>
                      <w:rFonts w:ascii="仿宋_GB2312" w:hAnsi="仿宋_GB2312" w:cs="仿宋_GB2312" w:eastAsia="仿宋_GB2312"/>
                      <w:sz w:val="22"/>
                      <w:color w:val="000000"/>
                    </w:rPr>
                    <w:t>内容包括：企业登记信息、行业信息、股东信息、主管人员信息、财务信息、分支机构信息、对外投资等，并由系统进行关联分析，形成图形关联界面，数据具像化。</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r>
            <w:tr>
              <w:tc>
                <w:tcPr>
                  <w:tcW w:type="dxa" w:w="3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通信服务</w:t>
                  </w:r>
                </w:p>
              </w:tc>
              <w:tc>
                <w:tcPr>
                  <w:tcW w:type="dxa" w:w="1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资费满足</w:t>
                  </w:r>
                  <w:r>
                    <w:rPr>
                      <w:rFonts w:ascii="仿宋_GB2312" w:hAnsi="仿宋_GB2312" w:cs="仿宋_GB2312" w:eastAsia="仿宋_GB2312"/>
                      <w:sz w:val="22"/>
                      <w:color w:val="000000"/>
                    </w:rPr>
                    <w:t>1000分钟通话时长，140G流量等。</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按需配备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15日内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陕西省铜川市新区朝阳路9号铜川政务</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参照《财政部关于进一步加强政府采购需求和履约验收管理的指导意见》(财库(2016) 205号)。自行组织验收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在履行本合同过程中，如甲、乙双方发生争议，协商解决；如双方达不成协议，向项目所在地人民法院提起诉讼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投标文件，同时，于开标前线下提交投标响应客户端生成带水印的响应文件纸质版至铜川市新区朝阳路鸿翔意境北门东侧119号（陕西公立）3楼304室，投标文件正本一份，副本一份。响应文件纸质版正本、副本分别密封，且在封袋正面标明"投标文件纸质版"字样。封袋应加贴封条，并在封线处加盖供应商公章，封袋正面要粘贴投标人全称、项目名称、编号等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负责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提供（1）或提供（2）：（1）提供2024年度财务报告复印件，应满足以下要求 ：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 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连续3个月已缴纳的纳税证明或完税证明（成立未满3个月的单位提供相关证明和材料），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任意连续3个月已缴纳的社会保障资金缴存单据或社保机构开具的社会保险参保缴费情况证明（成立未满3个月的单位提供相关证明和材料），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供应商不得列入“信用中国(www.creditchina.gov.cn)”中严重失信主体名单和重大税收违法失信主体名单，不得为“中国政府采购网(www.ccgp.gov.cn)” 政府采购严重违法失信行为记录名单中被财政部门禁止参加政府采购活动的供应商；供应商需在项目电子化交易系统中按要求上传相应证明文件并进行电子签章。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具有履行合同所必需的设备和专业技术能力，提供证明材料或书面承诺并加盖公章。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参加政府采购活动近三年内，在经营活动中没有重大违法记录，提供书面声明。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响应文件封面 分项报价表.docx 法定代表人身份证明书.docx 残疾人福利性单位声明函 服务方案 标的清单 响应函 法定代表人授权委托书.docx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