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版本号：SXGLZFCG2026-007号20260415001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铜川市第二届全民健身运动会赛事服务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SXGLZFCG2026-007号</w:t>
      </w:r>
      <w:r>
        <w:br/>
      </w:r>
      <w:r>
        <w:br/>
      </w:r>
      <w:r>
        <w:br/>
      </w:r>
    </w:p>
    <w:p>
      <w:pPr>
        <w:pStyle w:val="null3"/>
        <w:jc w:val="center"/>
        <w:outlineLvl w:val="2"/>
      </w:pPr>
      <w:r>
        <w:rPr>
          <w:rFonts w:ascii="仿宋_GB2312" w:hAnsi="仿宋_GB2312" w:cs="仿宋_GB2312" w:eastAsia="仿宋_GB2312"/>
          <w:sz w:val="28"/>
          <w:b/>
        </w:rPr>
        <w:t>铜川市体育局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铜川市体育局</w:t>
      </w:r>
      <w:r>
        <w:rPr>
          <w:rFonts w:ascii="仿宋_GB2312" w:hAnsi="仿宋_GB2312" w:cs="仿宋_GB2312" w:eastAsia="仿宋_GB2312"/>
        </w:rPr>
        <w:t>委托，拟对</w:t>
      </w:r>
      <w:r>
        <w:rPr>
          <w:rFonts w:ascii="仿宋_GB2312" w:hAnsi="仿宋_GB2312" w:cs="仿宋_GB2312" w:eastAsia="仿宋_GB2312"/>
        </w:rPr>
        <w:t>铜川市第二届全民健身运动会赛事服务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SXGLZFCG2026-007号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铜川市第二届全民健身运动会赛事服务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铜川市第二届全民健身运动会赛事服务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采购包1（铜川市第二届全民健身运动会赛事服务）：属于专门面向中小企业采购。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p>
      <w:pPr>
        <w:pStyle w:val="null3"/>
      </w:pPr>
      <w:r>
        <w:rPr>
          <w:rFonts w:ascii="仿宋_GB2312" w:hAnsi="仿宋_GB2312" w:cs="仿宋_GB2312" w:eastAsia="仿宋_GB2312"/>
        </w:rPr>
        <w:t>2、授权委托书：法定代表人直接参加投标的，须出具法人身份证，并与营业执照上信息一致；法定代表人授权代表 参加投标的，须出具法定代表人授权书及授权代表身份证；</w:t>
      </w:r>
    </w:p>
    <w:p>
      <w:pPr>
        <w:pStyle w:val="null3"/>
      </w:pPr>
      <w:r>
        <w:rPr>
          <w:rFonts w:ascii="仿宋_GB2312" w:hAnsi="仿宋_GB2312" w:cs="仿宋_GB2312" w:eastAsia="仿宋_GB2312"/>
        </w:rPr>
        <w:t>3、财务状况报告：提供（1）或提供（2）：（1）提供2023年度至2025年度任意一年财务报告复印件，应满足以下要求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p>
      <w:pPr>
        <w:pStyle w:val="null3"/>
      </w:pPr>
      <w:r>
        <w:rPr>
          <w:rFonts w:ascii="仿宋_GB2312" w:hAnsi="仿宋_GB2312" w:cs="仿宋_GB2312" w:eastAsia="仿宋_GB2312"/>
        </w:rPr>
        <w:t>4、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5、社保缴纳证明：提供2025年1月至今任意一个月的社会保障资金缴存单据或社保机构开具的社会保险参保缴费情况证明。依法不需要缴纳社会保障资金的供应商，应提供相关证明文件；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7、设备和专业技术能力承诺：具有履行合同所必需的设备和专业技术能力，提供证明材料或书面承诺并加盖公章 ；</w:t>
      </w:r>
    </w:p>
    <w:p>
      <w:pPr>
        <w:pStyle w:val="null3"/>
      </w:pPr>
      <w:r>
        <w:rPr>
          <w:rFonts w:ascii="仿宋_GB2312" w:hAnsi="仿宋_GB2312" w:cs="仿宋_GB2312" w:eastAsia="仿宋_GB2312"/>
        </w:rPr>
        <w:t>8、无重大违法记录声明：供应商在近三年经营活动中没有重大违法记录的声明；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和媛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0919-3185697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采购包1：749,334.00元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铜川市体育局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地址：陕西省铜川市耀州区陕西省铜川市新区朝阳路鸿翔逸境1号楼1-4层商业区三楼304、305室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铜川市第二届全民健身运动会赛事服务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749,334.00</w:t>
      </w:r>
    </w:p>
    <w:p>
      <w:pPr>
        <w:pStyle w:val="null3"/>
      </w:pPr>
      <w:r>
        <w:rPr>
          <w:rFonts w:ascii="仿宋_GB2312" w:hAnsi="仿宋_GB2312" w:cs="仿宋_GB2312" w:eastAsia="仿宋_GB2312"/>
        </w:rPr>
        <w:t>采购包最高限价（元）: 749,334.00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铜川市第二届全民健身运动会赛事服务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749,334.00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标的名称：铜川市第二届全民健身运动会赛事服务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为全面贯彻落实国家体育总局</w:t>
            </w:r>
            <w:r>
              <w:rPr>
                <w:rFonts w:ascii="仿宋_GB2312" w:hAnsi="仿宋_GB2312" w:cs="仿宋_GB2312" w:eastAsia="仿宋_GB2312"/>
                <w:sz w:val="32"/>
              </w:rPr>
              <w:t>“2026年群众体育工作部署九大重点任务”、陕西省体育局深化“三个年”活动</w:t>
            </w:r>
            <w:r>
              <w:rPr>
                <w:rFonts w:ascii="仿宋_GB2312" w:hAnsi="仿宋_GB2312" w:cs="仿宋_GB2312" w:eastAsia="仿宋_GB2312"/>
                <w:sz w:val="32"/>
                <w:color w:val="000000"/>
              </w:rPr>
              <w:t>及</w:t>
            </w:r>
            <w:r>
              <w:rPr>
                <w:rFonts w:ascii="仿宋_GB2312" w:hAnsi="仿宋_GB2312" w:cs="仿宋_GB2312" w:eastAsia="仿宋_GB2312"/>
                <w:sz w:val="32"/>
              </w:rPr>
              <w:t>铜川市加快建设体育强市</w:t>
            </w:r>
            <w:r>
              <w:rPr>
                <w:rFonts w:ascii="仿宋_GB2312" w:hAnsi="仿宋_GB2312" w:cs="仿宋_GB2312" w:eastAsia="仿宋_GB2312"/>
                <w:sz w:val="32"/>
                <w:color w:val="000000"/>
              </w:rPr>
              <w:t>目标，</w:t>
            </w:r>
            <w:r>
              <w:rPr>
                <w:rFonts w:ascii="仿宋_GB2312" w:hAnsi="仿宋_GB2312" w:cs="仿宋_GB2312" w:eastAsia="仿宋_GB2312"/>
                <w:sz w:val="32"/>
              </w:rPr>
              <w:t>在巩固市</w:t>
            </w:r>
            <w:r>
              <w:rPr>
                <w:rFonts w:ascii="仿宋_GB2312" w:hAnsi="仿宋_GB2312" w:cs="仿宋_GB2312" w:eastAsia="仿宋_GB2312"/>
                <w:sz w:val="32"/>
              </w:rPr>
              <w:t>“十四五”全民健身成果的同时，持续激发全民健身热情，为铜川体育事业在“十五五”开局筑牢根基，拟定于2026年4月至10月举办铜川市第二届全民健身运动会，为确保赛事活动安全、有序、高效开展，现面向社会公开招标专业赛事服务机构，承担本次运动会全程赛事服务工作。</w:t>
            </w:r>
          </w:p>
          <w:p>
            <w:pPr>
              <w:pStyle w:val="null3"/>
              <w:ind w:firstLine="640"/>
              <w:jc w:val="both"/>
            </w:pPr>
            <w:r>
              <w:rPr>
                <w:rFonts w:ascii="仿宋_GB2312" w:hAnsi="仿宋_GB2312" w:cs="仿宋_GB2312" w:eastAsia="仿宋_GB2312"/>
                <w:sz w:val="32"/>
              </w:rPr>
              <w:t>一、项目基本概况</w:t>
            </w:r>
          </w:p>
          <w:p>
            <w:pPr>
              <w:pStyle w:val="null3"/>
              <w:ind w:firstLine="640"/>
              <w:jc w:val="both"/>
            </w:pPr>
            <w:r>
              <w:rPr>
                <w:rFonts w:ascii="仿宋_GB2312" w:hAnsi="仿宋_GB2312" w:cs="仿宋_GB2312" w:eastAsia="仿宋_GB2312"/>
                <w:sz w:val="32"/>
              </w:rPr>
              <w:t>（一）项目名称</w:t>
            </w:r>
          </w:p>
          <w:p>
            <w:pPr>
              <w:pStyle w:val="null3"/>
              <w:ind w:firstLine="640"/>
              <w:jc w:val="both"/>
            </w:pPr>
            <w:r>
              <w:rPr>
                <w:rFonts w:ascii="仿宋_GB2312" w:hAnsi="仿宋_GB2312" w:cs="仿宋_GB2312" w:eastAsia="仿宋_GB2312"/>
                <w:sz w:val="32"/>
              </w:rPr>
              <w:t>铜川市第二届全民健身运动会赛事服务</w:t>
            </w:r>
          </w:p>
          <w:p>
            <w:pPr>
              <w:pStyle w:val="null3"/>
              <w:ind w:firstLine="640"/>
              <w:jc w:val="both"/>
            </w:pPr>
            <w:r>
              <w:rPr>
                <w:rFonts w:ascii="仿宋_GB2312" w:hAnsi="仿宋_GB2312" w:cs="仿宋_GB2312" w:eastAsia="仿宋_GB2312"/>
                <w:sz w:val="32"/>
              </w:rPr>
              <w:t>（二）组织机构</w:t>
            </w:r>
          </w:p>
          <w:p>
            <w:pPr>
              <w:pStyle w:val="null3"/>
              <w:ind w:firstLine="640"/>
              <w:jc w:val="both"/>
            </w:pPr>
            <w:r>
              <w:rPr>
                <w:rFonts w:ascii="仿宋_GB2312" w:hAnsi="仿宋_GB2312" w:cs="仿宋_GB2312" w:eastAsia="仿宋_GB2312"/>
                <w:sz w:val="32"/>
              </w:rPr>
              <w:t>主办单位：铜川市人民政府</w:t>
            </w:r>
          </w:p>
          <w:p>
            <w:pPr>
              <w:pStyle w:val="null3"/>
              <w:ind w:firstLine="640"/>
              <w:jc w:val="both"/>
            </w:pPr>
            <w:r>
              <w:rPr>
                <w:rFonts w:ascii="仿宋_GB2312" w:hAnsi="仿宋_GB2312" w:cs="仿宋_GB2312" w:eastAsia="仿宋_GB2312"/>
                <w:sz w:val="32"/>
              </w:rPr>
              <w:t>承办单位：市体育局、市直机关工委、市总工会、市教育局、市民政局</w:t>
            </w:r>
          </w:p>
          <w:p>
            <w:pPr>
              <w:pStyle w:val="null3"/>
              <w:ind w:firstLine="640"/>
              <w:jc w:val="both"/>
            </w:pPr>
            <w:r>
              <w:rPr>
                <w:rFonts w:ascii="仿宋_GB2312" w:hAnsi="仿宋_GB2312" w:cs="仿宋_GB2312" w:eastAsia="仿宋_GB2312"/>
                <w:sz w:val="32"/>
              </w:rPr>
              <w:t>（三）项目内容及服务周期</w:t>
            </w:r>
          </w:p>
          <w:p>
            <w:pPr>
              <w:pStyle w:val="null3"/>
              <w:ind w:firstLine="640"/>
              <w:jc w:val="both"/>
            </w:pPr>
            <w:r>
              <w:rPr>
                <w:rFonts w:ascii="仿宋_GB2312" w:hAnsi="仿宋_GB2312" w:cs="仿宋_GB2312" w:eastAsia="仿宋_GB2312"/>
                <w:sz w:val="32"/>
              </w:rPr>
              <w:t>1.项目内容：</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1）开幕式的策划及组织执行。</w:t>
            </w:r>
          </w:p>
          <w:p>
            <w:pPr>
              <w:pStyle w:val="null3"/>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2）竞赛项目的组织策划、场地布置、赛事服务等执行工作，组别和项目包括：青少年组的田径、足球、三人篮球、五人篮球、乒乓球、羽毛球项目</w:t>
            </w:r>
            <w:r>
              <w:rPr>
                <w:rFonts w:ascii="仿宋_GB2312" w:hAnsi="仿宋_GB2312" w:cs="仿宋_GB2312" w:eastAsia="仿宋_GB2312"/>
                <w:sz w:val="32"/>
                <w:color w:val="000000"/>
              </w:rPr>
              <w:t>。</w:t>
            </w:r>
            <w:r>
              <w:rPr>
                <w:rFonts w:ascii="仿宋_GB2312" w:hAnsi="仿宋_GB2312" w:cs="仿宋_GB2312" w:eastAsia="仿宋_GB2312"/>
                <w:sz w:val="32"/>
                <w:color w:val="000000"/>
              </w:rPr>
              <w:t>行业组的田径、三人篮球、五人篮球</w:t>
            </w:r>
            <w:r>
              <w:rPr>
                <w:rFonts w:ascii="仿宋_GB2312" w:hAnsi="仿宋_GB2312" w:cs="仿宋_GB2312" w:eastAsia="仿宋_GB2312"/>
                <w:sz w:val="32"/>
              </w:rPr>
              <w:t>、</w:t>
            </w:r>
            <w:r>
              <w:rPr>
                <w:rFonts w:ascii="仿宋_GB2312" w:hAnsi="仿宋_GB2312" w:cs="仿宋_GB2312" w:eastAsia="仿宋_GB2312"/>
                <w:sz w:val="32"/>
                <w:color w:val="000000"/>
              </w:rPr>
              <w:t>五人制足球、</w:t>
            </w:r>
            <w:r>
              <w:rPr>
                <w:rFonts w:ascii="仿宋_GB2312" w:hAnsi="仿宋_GB2312" w:cs="仿宋_GB2312" w:eastAsia="仿宋_GB2312"/>
                <w:sz w:val="32"/>
              </w:rPr>
              <w:t>乒乓球、</w:t>
            </w:r>
            <w:r>
              <w:rPr>
                <w:rFonts w:ascii="仿宋_GB2312" w:hAnsi="仿宋_GB2312" w:cs="仿宋_GB2312" w:eastAsia="仿宋_GB2312"/>
                <w:sz w:val="32"/>
              </w:rPr>
              <w:t>羽毛球、象棋、围棋、药王养生功十三法</w:t>
            </w:r>
            <w:r>
              <w:rPr>
                <w:rFonts w:ascii="仿宋_GB2312" w:hAnsi="仿宋_GB2312" w:cs="仿宋_GB2312" w:eastAsia="仿宋_GB2312"/>
                <w:sz w:val="32"/>
              </w:rPr>
              <w:t>、</w:t>
            </w:r>
            <w:r>
              <w:rPr>
                <w:rFonts w:ascii="仿宋_GB2312" w:hAnsi="仿宋_GB2312" w:cs="仿宋_GB2312" w:eastAsia="仿宋_GB2312"/>
                <w:sz w:val="32"/>
              </w:rPr>
              <w:t>跳绳、踢毽子项目</w:t>
            </w:r>
            <w:r>
              <w:rPr>
                <w:rFonts w:ascii="仿宋_GB2312" w:hAnsi="仿宋_GB2312" w:cs="仿宋_GB2312" w:eastAsia="仿宋_GB2312"/>
                <w:sz w:val="32"/>
              </w:rPr>
              <w:t>。</w:t>
            </w:r>
            <w:r>
              <w:rPr>
                <w:rFonts w:ascii="仿宋_GB2312" w:hAnsi="仿宋_GB2312" w:cs="仿宋_GB2312" w:eastAsia="仿宋_GB2312"/>
                <w:sz w:val="32"/>
                <w:color w:val="000000"/>
              </w:rPr>
              <w:t>社会组的</w:t>
            </w:r>
            <w:r>
              <w:rPr>
                <w:rFonts w:ascii="仿宋_GB2312" w:hAnsi="仿宋_GB2312" w:cs="仿宋_GB2312" w:eastAsia="仿宋_GB2312"/>
                <w:sz w:val="32"/>
              </w:rPr>
              <w:t>足球、</w:t>
            </w:r>
            <w:r>
              <w:rPr>
                <w:rFonts w:ascii="仿宋_GB2312" w:hAnsi="仿宋_GB2312" w:cs="仿宋_GB2312" w:eastAsia="仿宋_GB2312"/>
                <w:sz w:val="32"/>
                <w:color w:val="000000"/>
              </w:rPr>
              <w:t>三人篮球、五人篮球</w:t>
            </w:r>
            <w:r>
              <w:rPr>
                <w:rFonts w:ascii="仿宋_GB2312" w:hAnsi="仿宋_GB2312" w:cs="仿宋_GB2312" w:eastAsia="仿宋_GB2312"/>
                <w:sz w:val="32"/>
              </w:rPr>
              <w:t>、乒乓球、羽毛球、</w:t>
            </w:r>
            <w:r>
              <w:rPr>
                <w:rFonts w:ascii="仿宋_GB2312" w:hAnsi="仿宋_GB2312" w:cs="仿宋_GB2312" w:eastAsia="仿宋_GB2312"/>
                <w:sz w:val="32"/>
              </w:rPr>
              <w:t>象棋、</w:t>
            </w:r>
            <w:r>
              <w:rPr>
                <w:rFonts w:ascii="仿宋_GB2312" w:hAnsi="仿宋_GB2312" w:cs="仿宋_GB2312" w:eastAsia="仿宋_GB2312"/>
                <w:sz w:val="32"/>
              </w:rPr>
              <w:t>围棋、跳绳、武术散打、武术套路、轮滑、游泳项目。</w:t>
            </w:r>
            <w:r>
              <w:rPr>
                <w:rFonts w:ascii="仿宋_GB2312" w:hAnsi="仿宋_GB2312" w:cs="仿宋_GB2312" w:eastAsia="仿宋_GB2312"/>
                <w:sz w:val="32"/>
                <w:color w:val="000000"/>
              </w:rPr>
              <w:t>老年组的</w:t>
            </w:r>
            <w:r>
              <w:rPr>
                <w:rFonts w:ascii="仿宋_GB2312" w:hAnsi="仿宋_GB2312" w:cs="仿宋_GB2312" w:eastAsia="仿宋_GB2312"/>
                <w:sz w:val="32"/>
              </w:rPr>
              <w:t>药王养生功十三法、柔力球、</w:t>
            </w:r>
            <w:r>
              <w:rPr>
                <w:rFonts w:ascii="仿宋_GB2312" w:hAnsi="仿宋_GB2312" w:cs="仿宋_GB2312" w:eastAsia="仿宋_GB2312"/>
                <w:sz w:val="32"/>
              </w:rPr>
              <w:t>太极拳</w:t>
            </w:r>
            <w:r>
              <w:rPr>
                <w:rFonts w:ascii="仿宋_GB2312" w:hAnsi="仿宋_GB2312" w:cs="仿宋_GB2312" w:eastAsia="仿宋_GB2312"/>
                <w:sz w:val="32"/>
              </w:rPr>
              <w:t>、</w:t>
            </w:r>
            <w:r>
              <w:rPr>
                <w:rFonts w:ascii="仿宋_GB2312" w:hAnsi="仿宋_GB2312" w:cs="仿宋_GB2312" w:eastAsia="仿宋_GB2312"/>
                <w:sz w:val="32"/>
              </w:rPr>
              <w:t>广场舞、健身气功、乒乓球、匹克球、门球项目。</w:t>
            </w:r>
          </w:p>
          <w:p>
            <w:pPr>
              <w:pStyle w:val="null3"/>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3）闭幕式的策划及组织执行。</w:t>
            </w:r>
          </w:p>
          <w:p>
            <w:pPr>
              <w:pStyle w:val="null3"/>
              <w:jc w:val="both"/>
            </w:pPr>
            <w:r>
              <w:rPr>
                <w:rFonts w:ascii="仿宋_GB2312" w:hAnsi="仿宋_GB2312" w:cs="仿宋_GB2312" w:eastAsia="仿宋_GB2312"/>
                <w:sz w:val="32"/>
              </w:rPr>
              <w:t>2.服务期限：</w:t>
            </w:r>
            <w:r>
              <w:rPr>
                <w:rFonts w:ascii="仿宋_GB2312" w:hAnsi="仿宋_GB2312" w:cs="仿宋_GB2312" w:eastAsia="仿宋_GB2312"/>
                <w:sz w:val="32"/>
              </w:rPr>
              <w:t>自合同签订之日起，至运动会闭幕式结束、履约验收完成止（含赛事筹备、举办、收尾全流程）。</w:t>
            </w:r>
          </w:p>
          <w:p>
            <w:pPr>
              <w:pStyle w:val="null3"/>
              <w:ind w:firstLine="640"/>
              <w:jc w:val="both"/>
            </w:pPr>
            <w:r>
              <w:rPr>
                <w:rFonts w:ascii="仿宋_GB2312" w:hAnsi="仿宋_GB2312" w:cs="仿宋_GB2312" w:eastAsia="仿宋_GB2312"/>
                <w:sz w:val="32"/>
              </w:rPr>
              <w:t>二、核心赛事服务内容及要求</w:t>
            </w:r>
          </w:p>
          <w:p>
            <w:pPr>
              <w:pStyle w:val="null3"/>
              <w:ind w:firstLine="640"/>
              <w:jc w:val="both"/>
            </w:pPr>
            <w:r>
              <w:rPr>
                <w:rFonts w:ascii="仿宋_GB2312" w:hAnsi="仿宋_GB2312" w:cs="仿宋_GB2312" w:eastAsia="仿宋_GB2312"/>
                <w:sz w:val="32"/>
              </w:rPr>
              <w:t>中标服务机构需全程负责本次全民健身运动会策划筹备、组织执行、后勤保障、安全防控、宣传推广、收尾结算等全流程服务，具体内容如下：</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赛前筹备阶段</w:t>
            </w:r>
          </w:p>
          <w:p>
            <w:pPr>
              <w:pStyle w:val="null3"/>
              <w:ind w:firstLine="640"/>
              <w:jc w:val="both"/>
            </w:pPr>
            <w:r>
              <w:rPr>
                <w:rFonts w:ascii="仿宋_GB2312" w:hAnsi="仿宋_GB2312" w:cs="仿宋_GB2312" w:eastAsia="仿宋_GB2312"/>
                <w:sz w:val="32"/>
              </w:rPr>
              <w:t>1.制定各类方案。制定详细的赛事组织方案、医疗救助方案、安全保障方案、宣传工作方案、突发公共事件应急预案、经费使用管理方案等，明确各项工作的具体要求和突发事件及时启动应急预案。</w:t>
            </w:r>
          </w:p>
          <w:p>
            <w:pPr>
              <w:pStyle w:val="null3"/>
              <w:ind w:firstLine="640"/>
              <w:jc w:val="both"/>
            </w:pPr>
            <w:r>
              <w:rPr>
                <w:rFonts w:ascii="仿宋_GB2312" w:hAnsi="仿宋_GB2312" w:cs="仿宋_GB2312" w:eastAsia="仿宋_GB2312"/>
                <w:sz w:val="32"/>
              </w:rPr>
              <w:t>2.组建竞赛团队。成立赛事组织委员会，负责统筹协调各项工作，并组建各专项竞赛团队，负责具体实施各项竞赛工作。</w:t>
            </w:r>
          </w:p>
          <w:p>
            <w:pPr>
              <w:pStyle w:val="null3"/>
              <w:ind w:firstLine="640"/>
              <w:jc w:val="both"/>
            </w:pPr>
            <w:r>
              <w:rPr>
                <w:rFonts w:ascii="仿宋_GB2312" w:hAnsi="仿宋_GB2312" w:cs="仿宋_GB2312" w:eastAsia="仿宋_GB2312"/>
                <w:sz w:val="32"/>
              </w:rPr>
              <w:t>3.完成报名工作。及时做好运动员、技术官员和竞赛团队人员的参赛报名工作；收集整理相关人员信息，进行分类统计和审核，确保人员信息的准确性和完整性。</w:t>
            </w:r>
          </w:p>
          <w:p>
            <w:pPr>
              <w:pStyle w:val="null3"/>
              <w:ind w:firstLine="640"/>
              <w:jc w:val="both"/>
            </w:pPr>
            <w:r>
              <w:rPr>
                <w:rFonts w:ascii="仿宋_GB2312" w:hAnsi="仿宋_GB2312" w:cs="仿宋_GB2312" w:eastAsia="仿宋_GB2312"/>
                <w:sz w:val="32"/>
              </w:rPr>
              <w:t>4.开展岗位培训。针对不同岗位的工作人员，及时开展相应的业务技能和安全教育培训，提高工作人员的业务能力和安全意识。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二</w:t>
            </w:r>
            <w:r>
              <w:rPr>
                <w:rFonts w:ascii="仿宋_GB2312" w:hAnsi="仿宋_GB2312" w:cs="仿宋_GB2312" w:eastAsia="仿宋_GB2312"/>
                <w:sz w:val="32"/>
              </w:rPr>
              <w:t>）赛时运行阶段</w:t>
            </w:r>
          </w:p>
          <w:p>
            <w:pPr>
              <w:pStyle w:val="null3"/>
              <w:ind w:firstLine="640"/>
              <w:jc w:val="both"/>
            </w:pPr>
            <w:r>
              <w:rPr>
                <w:rFonts w:ascii="仿宋_GB2312" w:hAnsi="仿宋_GB2312" w:cs="仿宋_GB2312" w:eastAsia="仿宋_GB2312"/>
                <w:sz w:val="32"/>
              </w:rPr>
              <w:t>1.召开赛前技术会议。组织各参赛队伍召开技术会议，介绍赛事规则和要求，明确各参赛队伍的任务和责任。</w:t>
            </w:r>
          </w:p>
          <w:p>
            <w:pPr>
              <w:pStyle w:val="null3"/>
              <w:ind w:firstLine="640"/>
              <w:jc w:val="both"/>
            </w:pPr>
            <w:r>
              <w:rPr>
                <w:rFonts w:ascii="仿宋_GB2312" w:hAnsi="仿宋_GB2312" w:cs="仿宋_GB2312" w:eastAsia="仿宋_GB2312"/>
                <w:sz w:val="32"/>
              </w:rPr>
              <w:t>2.按时发放各种竞赛文件。按照赛事规定的时间节点，及时发放竞赛规程、比赛秩序册等相关文件资料，确保各参赛队伍及时了解赛事信息和要求。</w:t>
            </w:r>
          </w:p>
          <w:p>
            <w:pPr>
              <w:pStyle w:val="null3"/>
              <w:ind w:firstLine="640"/>
              <w:jc w:val="both"/>
            </w:pPr>
            <w:r>
              <w:rPr>
                <w:rFonts w:ascii="仿宋_GB2312" w:hAnsi="仿宋_GB2312" w:cs="仿宋_GB2312" w:eastAsia="仿宋_GB2312"/>
                <w:sz w:val="32"/>
              </w:rPr>
              <w:t>3.做好赛事接待服务、信息技术、媒体运行、参赛制证和安全保卫等工作。积极协调各方资源，确保各项服务保障工作顺利进行。</w:t>
            </w:r>
          </w:p>
          <w:p>
            <w:pPr>
              <w:pStyle w:val="null3"/>
              <w:ind w:firstLine="640"/>
              <w:jc w:val="both"/>
            </w:pPr>
            <w:r>
              <w:rPr>
                <w:rFonts w:ascii="仿宋_GB2312" w:hAnsi="仿宋_GB2312" w:cs="仿宋_GB2312" w:eastAsia="仿宋_GB2312"/>
                <w:sz w:val="32"/>
              </w:rPr>
              <w:t>4.切实做好竞赛组织工作。加强现场管理和安全监管，防范各种突发情况的发生，竞赛组织工作安全有序进行，确保竞赛顺利开展。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三</w:t>
            </w:r>
            <w:r>
              <w:rPr>
                <w:rFonts w:ascii="仿宋_GB2312" w:hAnsi="仿宋_GB2312" w:cs="仿宋_GB2312" w:eastAsia="仿宋_GB2312"/>
                <w:sz w:val="32"/>
              </w:rPr>
              <w:t>）赛后总结阶段</w:t>
            </w:r>
          </w:p>
          <w:p>
            <w:pPr>
              <w:pStyle w:val="null3"/>
              <w:jc w:val="both"/>
            </w:pPr>
            <w:r>
              <w:rPr>
                <w:rFonts w:ascii="仿宋_GB2312" w:hAnsi="仿宋_GB2312" w:cs="仿宋_GB2312" w:eastAsia="仿宋_GB2312"/>
                <w:sz w:val="32"/>
              </w:rPr>
              <w:t>做好赛后总结收尾工作。及时编制各竞赛项目成绩册；组织分析赛事期间出现的问题和不足并提出改进措施和建议，为今后的赛事组织工作提供有益的借鉴和参考。</w:t>
            </w:r>
          </w:p>
          <w:p>
            <w:pPr>
              <w:pStyle w:val="null3"/>
              <w:ind w:firstLine="640"/>
              <w:jc w:val="both"/>
            </w:pPr>
            <w:r>
              <w:rPr>
                <w:rFonts w:ascii="仿宋_GB2312" w:hAnsi="仿宋_GB2312" w:cs="仿宋_GB2312" w:eastAsia="仿宋_GB2312"/>
                <w:sz w:val="32"/>
              </w:rPr>
              <w:t>三、服务质量标准</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严格按照国家、省市体育赛事组织管理规范及本方案要求执行，所有服务工作需经甲方审核确认，确保赛事流程规范、环节顺畅。</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赛事组织零重大安全事故、零重大执裁失误，保障参赛人员人身安全和合法权益。</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赛事服务响应及时，对甲方提出的整改要求、突发问题，第一时间响应并妥善解决。</w:t>
            </w:r>
          </w:p>
          <w:p>
            <w:pPr>
              <w:pStyle w:val="null3"/>
              <w:ind w:firstLine="640"/>
              <w:jc w:val="both"/>
            </w:pPr>
            <w:r>
              <w:rPr>
                <w:rFonts w:ascii="仿宋_GB2312" w:hAnsi="仿宋_GB2312" w:cs="仿宋_GB2312" w:eastAsia="仿宋_GB2312"/>
                <w:sz w:val="32"/>
              </w:rPr>
              <w:t>（四）</w:t>
            </w:r>
            <w:r>
              <w:rPr>
                <w:rFonts w:ascii="仿宋_GB2312" w:hAnsi="仿宋_GB2312" w:cs="仿宋_GB2312" w:eastAsia="仿宋_GB2312"/>
                <w:sz w:val="32"/>
              </w:rPr>
              <w:t>秉持节俭办赛原则，合理使用赛事经费，杜绝铺张浪费。</w:t>
            </w:r>
          </w:p>
          <w:p>
            <w:pPr>
              <w:pStyle w:val="null3"/>
              <w:ind w:firstLine="640"/>
              <w:jc w:val="both"/>
            </w:pPr>
            <w:r>
              <w:rPr>
                <w:rFonts w:ascii="仿宋_GB2312" w:hAnsi="仿宋_GB2312" w:cs="仿宋_GB2312" w:eastAsia="仿宋_GB2312"/>
                <w:sz w:val="32"/>
              </w:rPr>
              <w:t>（五）</w:t>
            </w:r>
            <w:r>
              <w:rPr>
                <w:rFonts w:ascii="仿宋_GB2312" w:hAnsi="仿宋_GB2312" w:cs="仿宋_GB2312" w:eastAsia="仿宋_GB2312"/>
                <w:sz w:val="32"/>
              </w:rPr>
              <w:t>保障赛事全民参与性，简化参赛流程、降低参与门槛，吸引广大市民积极参与，提升群众满意度。</w:t>
            </w:r>
          </w:p>
          <w:p>
            <w:pPr>
              <w:pStyle w:val="null3"/>
              <w:ind w:firstLine="640"/>
              <w:jc w:val="both"/>
            </w:pPr>
            <w:r>
              <w:rPr>
                <w:rFonts w:ascii="仿宋_GB2312" w:hAnsi="仿宋_GB2312" w:cs="仿宋_GB2312" w:eastAsia="仿宋_GB2312"/>
                <w:sz w:val="32"/>
              </w:rPr>
              <w:t>四、履约管理要求</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中标机构需在合同约定时间内，全面落实各项赛事服务工作，不得擅自变更服务内容、降低服务标准。</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主动接受甲方的监督、检查和指导，定期向甲方汇报赛事筹备、执行进展，及时上报各类问题。</w:t>
            </w:r>
          </w:p>
          <w:p>
            <w:pPr>
              <w:pStyle w:val="null3"/>
              <w:ind w:firstLine="640"/>
              <w:jc w:val="both"/>
            </w:pPr>
            <w:r>
              <w:rPr>
                <w:rFonts w:ascii="仿宋_GB2312" w:hAnsi="仿宋_GB2312" w:cs="仿宋_GB2312" w:eastAsia="仿宋_GB2312"/>
                <w:sz w:val="32"/>
              </w:rPr>
              <w:t>（三）</w:t>
            </w:r>
            <w:r>
              <w:rPr>
                <w:rFonts w:ascii="仿宋_GB2312" w:hAnsi="仿宋_GB2312" w:cs="仿宋_GB2312" w:eastAsia="仿宋_GB2312"/>
                <w:sz w:val="32"/>
              </w:rPr>
              <w:t>严格遵守赛事工作纪律，保守赛事相关工作秘密，维护赛事公信力和主办单位形象。</w:t>
            </w:r>
          </w:p>
          <w:p>
            <w:pPr>
              <w:pStyle w:val="null3"/>
              <w:ind w:firstLine="640"/>
              <w:jc w:val="both"/>
            </w:pPr>
            <w:r>
              <w:rPr>
                <w:rFonts w:ascii="仿宋_GB2312" w:hAnsi="仿宋_GB2312" w:cs="仿宋_GB2312" w:eastAsia="仿宋_GB2312"/>
                <w:sz w:val="32"/>
              </w:rPr>
              <w:t>五、验收标准</w:t>
            </w:r>
          </w:p>
          <w:p>
            <w:pPr>
              <w:pStyle w:val="null3"/>
              <w:ind w:firstLine="640"/>
              <w:jc w:val="both"/>
            </w:pPr>
            <w:r>
              <w:rPr>
                <w:rFonts w:ascii="仿宋_GB2312" w:hAnsi="仿宋_GB2312" w:cs="仿宋_GB2312" w:eastAsia="仿宋_GB2312"/>
                <w:sz w:val="32"/>
              </w:rPr>
              <w:t>赛事全部结束后，甲方按照本方案、投标文件及服务合同约定，对赛事服务工作进行全面验收，验收合格标准：</w:t>
            </w:r>
          </w:p>
          <w:p>
            <w:pPr>
              <w:pStyle w:val="null3"/>
              <w:ind w:firstLine="640"/>
              <w:jc w:val="both"/>
            </w:pPr>
            <w:r>
              <w:rPr>
                <w:rFonts w:ascii="仿宋_GB2312" w:hAnsi="仿宋_GB2312" w:cs="仿宋_GB2312" w:eastAsia="仿宋_GB2312"/>
                <w:sz w:val="32"/>
              </w:rPr>
              <w:t>（一）</w:t>
            </w:r>
            <w:r>
              <w:rPr>
                <w:rFonts w:ascii="仿宋_GB2312" w:hAnsi="仿宋_GB2312" w:cs="仿宋_GB2312" w:eastAsia="仿宋_GB2312"/>
                <w:sz w:val="32"/>
              </w:rPr>
              <w:t>项目按计划圆满完成，无重大安全事故和违规问题。</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服务内容、质量达到本方案及合同约定标准，参赛单位、群众反馈良好。</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完整提交所有赛事资料、总结报告等。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自合同签订之日起，至运动会闭幕式结束、履约验收完成止（含赛事筹备、举办、收尾全流程）</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 验收方法：自行组织项目验收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在采购方确认成交供应商如约履行各项义务、完成各项善后工作，无任何对本次比赛可能造成不良影响的遗留问题后，提交审计部门进行专项审计，按照审计结果一次性付清剩余全款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以双方最终签订和合同内具体条款约定准。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 或事业单位法人证书等国家规定的相关证明，自然人参与的提供其身份证明。供应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 参加投标的，须出具法定代表人授权书及授权代表身份证；</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提供（1）或提供（2）：（1）提供2023年度至2025年度任意一年财务报告复印件，应满足以下要求 ： ①供应商是企业的，财务报告是指经会计师事务所审计的上述指定年度整个会 计年度财务报表（须提供会计师事务所出具的审计报告复印件）,复印件至少须包 括报告正文、资产负债表、现金流量表、利润表、附注和会计师事务所营业执照， 报告正文应当有会计师事务所公章和2名注册会计师的签字及盖章，且审计报告应 当经过注册会计师行业统一监管平台备案赋码。 ② 供应商适用《事业单位会计准 则》的，财务报告是指上述指定年度整个会计年度财务报表（不要求必须是经审计 的），复印件至少须包括资产负债表、收入支出表（或收入费用表）、财政补助收 入支出表。 ③ 供应商适用《政府会计准则》的，财务报告是指上述指定年度整个 会计年度财务报表（不要求必须是经审计的），复印件至少须包括资产负债表、收 入费用表。 ④ 供应商适用《民间非营利组织会计制度》的，财务报告是指上述指 定年度整个会计年度财务报表（不要求必须是经审计的），复印件至少须包括资产 负债表、业务活动表、现金流量表。 ⑤ 供应商是上述四种情况以外情况的，按照 其依法适用的会计制度、财务规则或会计准则提供 财务报表复印件（不要求必须 是经审计的）。 （2）提供资信证明原件或复印件，应满足以下要求： ① 资信证 明须为递交响应文件截止时间前三个月内由供应商基本账户开户银行出具。 ② 无 论开具银行是否标明“复印无效”，供应商提供的复印件在本次投标中予以认可（即 不因“复印无效”字样而认定资信证明复印件无效）。 ③ 银行出具的存款证明不能 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全部通过符合性审查供应商投标（响应）报价平均值65%或者投标（响应）报价低于采购项目最高限价65%，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完全满足磋商文件文件格式要求签字盖章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法定代表人身份证明书.docx 残疾人福利性单位声明函 供应商类似项目业绩一览表(1包).docx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需满足磋商文件要求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不论其大写或小写金额均只能有一个有效报价，且未超过最高限价。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竞赛组织实施方案</w:t>
            </w:r>
          </w:p>
        </w:tc>
        <w:tc>
          <w:tcPr>
            <w:tcW w:type="dxa" w:w="2492"/>
          </w:tcPr>
          <w:p>
            <w:pPr>
              <w:pStyle w:val="null3"/>
            </w:pPr>
            <w:r>
              <w:rPr>
                <w:rFonts w:ascii="仿宋_GB2312" w:hAnsi="仿宋_GB2312" w:cs="仿宋_GB2312" w:eastAsia="仿宋_GB2312"/>
              </w:rPr>
              <w:t>提供针对本项目的竞赛组织实施方案，内容至少包括①赛事总体规划；②报名组织实施方案；③场地使用、搭建及赛场布置方案；④赛事进度安排；⑤裁判员选派与培训；⑥计时计分与成绩发布；⑦证书奖牌制作。 以上内容专门针对本项目，且符合本项目实际需求的得14分，每缺一项扣2分，若上述内容存在瑕疵，每出现1项瑕疵扣0.5分，扣完为止。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媒体宣传推广方案</w:t>
            </w:r>
          </w:p>
        </w:tc>
        <w:tc>
          <w:tcPr>
            <w:tcW w:type="dxa" w:w="2492"/>
          </w:tcPr>
          <w:p>
            <w:pPr>
              <w:pStyle w:val="null3"/>
            </w:pPr>
            <w:r>
              <w:rPr>
                <w:rFonts w:ascii="仿宋_GB2312" w:hAnsi="仿宋_GB2312" w:cs="仿宋_GB2312" w:eastAsia="仿宋_GB2312"/>
              </w:rPr>
              <w:t>提供针对本项目的媒体宣传推广方案，内容至少包括①宣传推广总体思路；②分阶段宣传计划；③媒体渠道覆盖。 以上内容专门针对本项目，且符合本项目实际需求的得9分，每缺一项扣3分，若上述内容存在瑕疵，每出现1项瑕疵扣0.5分，扣完为止。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开闭幕式策划方案</w:t>
            </w:r>
          </w:p>
        </w:tc>
        <w:tc>
          <w:tcPr>
            <w:tcW w:type="dxa" w:w="2492"/>
          </w:tcPr>
          <w:p>
            <w:pPr>
              <w:pStyle w:val="null3"/>
            </w:pPr>
            <w:r>
              <w:rPr>
                <w:rFonts w:ascii="仿宋_GB2312" w:hAnsi="仿宋_GB2312" w:cs="仿宋_GB2312" w:eastAsia="仿宋_GB2312"/>
              </w:rPr>
              <w:t>提供针对本项目的开闭幕式策划方案，内容至少包括①开闭幕式主题创意；②开闭幕式流程设计；③开闭幕式节目编排；④闭幕式颁奖仪式组织。 以上内容专门针对本项目，且符合本项目实际需求的得12分，每缺一项扣3分，若上述内容存在瑕疵，每出现1项瑕疵扣0.5分，扣完为止。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提供针对本项目的质量保障方案至少包括①质量保障措施；②过程质量控制措施；③问题整改闭环流程。 以上内容专门针对本项目且符合本项目实际需求的得9分，每缺一项内容扣3分，若上述内容存在瑕疵，每存在1处瑕疵扣0.5分，扣完为止。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安全应急保障方案</w:t>
            </w:r>
          </w:p>
        </w:tc>
        <w:tc>
          <w:tcPr>
            <w:tcW w:type="dxa" w:w="2492"/>
          </w:tcPr>
          <w:p>
            <w:pPr>
              <w:pStyle w:val="null3"/>
            </w:pPr>
            <w:r>
              <w:rPr>
                <w:rFonts w:ascii="仿宋_GB2312" w:hAnsi="仿宋_GB2312" w:cs="仿宋_GB2312" w:eastAsia="仿宋_GB2312"/>
              </w:rPr>
              <w:t>提供针对本项目的安全应急保障方案至少包括①现场安保部署；②医疗救助方案；③消防安全措施；④食品安全保障；⑤应急预案场景覆盖；⑥应急响应措施。 以上内容专门针对本项目且符合本项目实际需求的得12分，每缺一项内容扣2分，若上述内容存在瑕疵，每存在1处瑕疵扣0.5分，扣完为止。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拟投入的团队人员配置方案</w:t>
            </w:r>
          </w:p>
        </w:tc>
        <w:tc>
          <w:tcPr>
            <w:tcW w:type="dxa" w:w="2492"/>
          </w:tcPr>
          <w:p>
            <w:pPr>
              <w:pStyle w:val="null3"/>
            </w:pPr>
            <w:r>
              <w:rPr>
                <w:rFonts w:ascii="仿宋_GB2312" w:hAnsi="仿宋_GB2312" w:cs="仿宋_GB2312" w:eastAsia="仿宋_GB2312"/>
              </w:rPr>
              <w:t>提供针对本项目的拟投入的团队人员配置方案，内容至少包括①项目管理团队人员配置方案；②竞赛组织团队配置方案；岗位职责；③团队管理制度； 以上内容专门针对本项目且符合本项目实际需求的得9分，每缺一项内容扣3分，若上述内容存在瑕疵，每存在1处瑕疵扣0.5分，扣完为止。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内容至少包括①服务质量保障承诺；②履约时限承诺（赛前筹备、赛时运行、赛后总结各阶段关键节点）；③问题响应与处理承诺；④保守赛事工作秘密承诺；⑤赛后资料质量保障及移交承诺等方面。 以上内容专门针对本项目且符合本项目实际需求的得15分，每缺一项内容扣3分，若上述内容存在瑕疵，每存在1处瑕疵扣0.5分，扣完为止。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供应商提供2023年1月01日至今（以合同签订时间为准）的同类项目（单项赛事服务或综合赛事服务均可）业绩，每提供一份得2分，满分10分。 注：响应文件中提供合同复印件加盖投标人公章。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价格分采用低价优先法计算，即满足磋商文件要求且响应报价最低的响应报价为评标基准价，其价格分为满分。其他投标单位的价格分统一按照下列公式计算：磋商报价=（评标基准价/响应报价）×价格权值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详见附件：供应商类似项目业绩一览表(1包).docx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