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版本号：TCZFCG-2026-0017720260423001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TCZFCG-2026-00177</w:t>
      </w:r>
      <w:r>
        <w:br/>
      </w:r>
      <w:r>
        <w:br/>
      </w:r>
      <w:r>
        <w:br/>
      </w:r>
    </w:p>
    <w:p>
      <w:pPr>
        <w:pStyle w:val="null3"/>
        <w:jc w:val="center"/>
        <w:outlineLvl w:val="2"/>
      </w:pPr>
      <w:r>
        <w:rPr>
          <w:rFonts w:ascii="仿宋_GB2312" w:hAnsi="仿宋_GB2312" w:cs="仿宋_GB2312" w:eastAsia="仿宋_GB2312"/>
          <w:sz w:val="28"/>
          <w:b/>
        </w:rPr>
        <w:t>铜川市公安局交通警察支队</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铜川市公安局交通警察支队</w:t>
      </w:r>
      <w:r>
        <w:rPr>
          <w:rFonts w:ascii="仿宋_GB2312" w:hAnsi="仿宋_GB2312" w:cs="仿宋_GB2312" w:eastAsia="仿宋_GB2312"/>
        </w:rPr>
        <w:t>委托，拟对</w:t>
      </w:r>
      <w:r>
        <w:rPr>
          <w:rFonts w:ascii="仿宋_GB2312" w:hAnsi="仿宋_GB2312" w:cs="仿宋_GB2312" w:eastAsia="仿宋_GB2312"/>
        </w:rPr>
        <w:t>物业管理服务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TCZFCG-2026-00177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物业管理服务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公安局交通警察支队位于铜川市新区正阳路东段，占地面积55亩，楼宇总建筑面积10292平方米（机关办公楼、车管所、警体训练中心、违法处罚大厅、指挥中心、职工餐厅等），区域绿化面积约12155平方米，（各类树木达1000余棵），道路硬化面积20437平方，区域内绿化、室外道路、给排水管网、供配电系统等各类设施设备。物业服务工作主要承担区域内的建筑物、构筑物及其配套设施设备、道路、广场、秩序维护、环境卫生、绿化养护等的管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铜川市公安局交通警察支队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铜川市耀州区正阳路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0919-3157993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铜川市公安局交通警察支队</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铜川市公安局交通警察支队</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铜川市公安局交通警察支队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铜川市公安局交通警察支队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地址：铜川市新区齐庆路中段人社大厦3楼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公安局交通警察支队位于铜川市新区正阳路东段，占地面积55亩，楼宇总建筑面积10292平方米（机关办公楼、车管所、警体训练中心、违法处罚大厅、指挥中心、职工餐厅等），区域绿化面积约12155平方米，（各类树木达1000余棵），道路硬化面积20437平方，区域内绿化、室外道路、给排水管网、供配电系统等各类设施设备。物业服务工作主要承担区域内的建筑物、构筑物及其配套设施设备、道路、广场、秩序维护、环境卫生、绿化养护等的管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708,000.00</w:t>
      </w:r>
    </w:p>
    <w:p>
      <w:pPr>
        <w:pStyle w:val="null3"/>
      </w:pPr>
      <w:r>
        <w:rPr>
          <w:rFonts w:ascii="仿宋_GB2312" w:hAnsi="仿宋_GB2312" w:cs="仿宋_GB2312" w:eastAsia="仿宋_GB2312"/>
        </w:rPr>
        <w:t>采购包最高限价（元）: 708,000.00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铜川市公安局交通警察支队机关2026年物业管理服务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标的名称：铜川市公安局交通警察支队机关2026年物业管理服务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拟配备本项目人员22名，本项目全部人员年龄均不可超过60岁。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铜川市公安局交通警察支队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合同签订之日起生效 ,计1年。服务期限到期，后两年物业服务，在采购单位对上年度服务验收合格后，按照政府采购相关要求。通过续签合同方式进行。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有效存续营业执照；社保缴纳证明：近期已缴存的社会保障资金缴存单据或社保机构开具的社会保险参保缴费情况证明。依法不需要缴纳社会保障资金的供应商应提供相关文件证明；税收缴纳证明：近期已缴纳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完善的财务制度。财务状况报告（二选一）：①提供近期经审计的财务会计报告（至少包括审计报告、资产负债表和利润表，成立时间至提交投标文件截止时间不足一年的可提供成立后任意时段的资产负债表）；②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中小企业声明函、残疾人福利性单位声明函、监狱企业的证明文件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供应商应提交的相关资格证明材料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要求提出物业服务定位、目标，详细列出服务工作计划，并按照标准化实施服务管理，针对本次采购项目采购内容及要求，对各响应商响应文件中，服务方案、服务目标、服务内容等完整性、科学性、合理性进行综合评审。根据响应情况：计0-20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管理制度与措施</w:t>
            </w:r>
          </w:p>
        </w:tc>
        <w:tc>
          <w:tcPr>
            <w:tcW w:type="dxa" w:w="2492"/>
          </w:tcPr>
          <w:p>
            <w:pPr>
              <w:pStyle w:val="null3"/>
            </w:pPr>
            <w:r>
              <w:rPr>
                <w:rFonts w:ascii="仿宋_GB2312" w:hAnsi="仿宋_GB2312" w:cs="仿宋_GB2312" w:eastAsia="仿宋_GB2312"/>
              </w:rPr>
              <w:t>编制项目管理机构、工作职能组织运行图，阐述项目经理的管理职责、内部管理的职责分工，日常管理制度完善、程序规范，符合项目实际需求，根据各投标单位响应情况计0-10分。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配备本项目人员需提供物业经理1名（大专以上学历）、电工1名（需提供电工证）、保安7名（需提供保安员证）、消防巡逻人员1名（需提供消防证）、锅炉管理人员2名（锅炉证）。每提供一份材料得1分，满分12分。拟本项目全部人员年龄均不可超过60岁（参加本项目的所有人员必须提供有效期内的健康证，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针对各种突发事件的应急预案全面、具体、可实施性进行评审，0-8分。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服务优势</w:t>
            </w:r>
          </w:p>
        </w:tc>
        <w:tc>
          <w:tcPr>
            <w:tcW w:type="dxa" w:w="2492"/>
          </w:tcPr>
          <w:p>
            <w:pPr>
              <w:pStyle w:val="null3"/>
            </w:pPr>
            <w:r>
              <w:rPr>
                <w:rFonts w:ascii="仿宋_GB2312" w:hAnsi="仿宋_GB2312" w:cs="仿宋_GB2312" w:eastAsia="仿宋_GB2312"/>
              </w:rPr>
              <w:t>结合项目实施地点实际情况，根据响应商对本项目总体理解及认识，对响应商的自身服务优势、服务特点等内容由评标委员会综合评审后赋分。计0-8分。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根据响应商的服务优惠、服务承诺的合理性、便利性、可行性进行评价，由评标委员会综合评审后赋分。按其响应程度计0-8分。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能够提供自2022年1月至今物业服务的业绩，每项计2分，本项最高得4分（加盖鲜章的合同复印件或加盖鲜章中标通知书，否则不得分）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