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版本号：TCZFCG-2026-0011120260421001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建筑消防设施实训场地建设项目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TCZFCG-2026-00111</w:t>
      </w:r>
      <w:r>
        <w:br/>
      </w:r>
      <w:r>
        <w:br/>
      </w:r>
      <w:r>
        <w:br/>
      </w:r>
    </w:p>
    <w:p>
      <w:pPr>
        <w:pStyle w:val="null3"/>
        <w:jc w:val="center"/>
        <w:outlineLvl w:val="2"/>
      </w:pPr>
      <w:r>
        <w:rPr>
          <w:rFonts w:ascii="仿宋_GB2312" w:hAnsi="仿宋_GB2312" w:cs="仿宋_GB2312" w:eastAsia="仿宋_GB2312"/>
          <w:sz w:val="28"/>
          <w:b/>
        </w:rPr>
        <w:t>铜川市消防救援支队</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铜川市消防救援支队</w:t>
      </w:r>
      <w:r>
        <w:rPr>
          <w:rFonts w:ascii="仿宋_GB2312" w:hAnsi="仿宋_GB2312" w:cs="仿宋_GB2312" w:eastAsia="仿宋_GB2312"/>
        </w:rPr>
        <w:t>委托，拟对</w:t>
      </w:r>
      <w:r>
        <w:rPr>
          <w:rFonts w:ascii="仿宋_GB2312" w:hAnsi="仿宋_GB2312" w:cs="仿宋_GB2312" w:eastAsia="仿宋_GB2312"/>
        </w:rPr>
        <w:t>建筑消防设施实训场地建设项目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TCZFCG-2026-00111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建筑消防设施实训场地建设项目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消防救援支队建筑消防设施实训场地建设项目，为加强全市指战员能力素质，扎实开展好防消联勤工作，进一步提高全市消防监督执法质量，拟在咸丰路特勤消防站、七一路消防站、频阳路消防站、锦阳新城消防站、宜阳北街消防站、长宁南路消防站6个队站建设建筑消防设施实训场地。主要内容：消防给水及消火栓系统、火灾自动报警系统、自动喷水灭火系统、强电和应急照明、防火分隔设施、送排风和防排烟系统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采购包1（建筑消防设施实训场地建设项目）：属于专门面向中小企业采购。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1、施工及安全生产：具备建设行政主管部门颁发的消防设施工程专业承包二级(含)及以上资质，且具有有效的安全生产许可证。</w:t>
      </w:r>
    </w:p>
    <w:p>
      <w:pPr>
        <w:pStyle w:val="null3"/>
      </w:pPr>
      <w:r>
        <w:rPr>
          <w:rFonts w:ascii="仿宋_GB2312" w:hAnsi="仿宋_GB2312" w:cs="仿宋_GB2312" w:eastAsia="仿宋_GB2312"/>
        </w:rPr>
        <w:t>2、项目经理：拟派项目经理（建造师）须具备注册建造师(机电工程)二级(含)及以上资格且具备有效的安全生产考核证书，项目经理无在建工程（提供承诺书）。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铜川市消防救援支队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铜川市新区咸丰路东段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铜川市消防救援支队经办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13619199086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陕西省铜川市耀州区铜川市新区齐庆路中段人社大厦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采购包1：1,889,462.00元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铜川市消防救援支队</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铜川市消防救援支队</w:t>
      </w:r>
      <w:r>
        <w:rPr>
          <w:rFonts w:ascii="仿宋_GB2312" w:hAnsi="仿宋_GB2312" w:cs="仿宋_GB2312" w:eastAsia="仿宋_GB2312"/>
        </w:rPr>
        <w:t>负责解释。除上述磋商文件内容，其他内容由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铜川市消防救援支队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铜川市政府采购中心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严格依照招标文件、合同、图纸及现行规范完成全部建设内容，工程质量、材料设备、施工管理、竣工资料及使用功能均达标，履约完整合规即为验收合格。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铜川市消防救援支队</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铜川市消防救援支队</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铜川市消防救援支队</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联系电话：13619199086</w:t>
      </w:r>
    </w:p>
    <w:p>
      <w:pPr>
        <w:pStyle w:val="null3"/>
      </w:pPr>
      <w:r>
        <w:rPr>
          <w:rFonts w:ascii="仿宋_GB2312" w:hAnsi="仿宋_GB2312" w:cs="仿宋_GB2312" w:eastAsia="仿宋_GB2312"/>
        </w:rPr>
        <w:t>地址：铜川市新区咸丰路东段</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1,889,462.00</w:t>
      </w:r>
    </w:p>
    <w:p>
      <w:pPr>
        <w:pStyle w:val="null3"/>
      </w:pPr>
      <w:r>
        <w:rPr>
          <w:rFonts w:ascii="仿宋_GB2312" w:hAnsi="仿宋_GB2312" w:cs="仿宋_GB2312" w:eastAsia="仿宋_GB2312"/>
        </w:rPr>
        <w:t>采购包最高限价（元）: 1,889,462.00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建筑消防设施实训场地建设项目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1,889,462.00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标的名称：建筑消防设施实训场地建设项目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质保期：本项目整体质保期严格按照国家及行业现行相关规定执行，自工程竣工验收合格之日起计算。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具体施工内容详见工程量清单。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本项目整体质保期严格按照国家及行业现行建设工程质量管理相关规定执行，自工程竣工验收合格之日起计算。</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成本补偿和风险分担约定：依据《中华人民共和国民法典》、《中华人民共和国政府采购法》、《中华人民共和国政府采购法实施条例》的相关条款和本合同约定，中标供应商未全面履行合同义务或者发生违约，采购单位有权终止合同，依法向中标供应商进行经济索赔，并报请政府采购监督管理机关进行相应的行政处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施工期间拖欠工资、施工安全、环保及扰民纠纷责任由中标单位自行承担。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1、提供有效存续期内的企业营业执照（副本）等证书； 2、提供2025年4月至今任意一个月的社会保障资金缴存单据或社保机构开具的社会保险参保缴费情况证明。依法不需要缴纳社会保障资金的投标人应提供相关证明文件； 3、提供2025年4月至今任意一个月的依法缴纳税收的完税证明，完税证明应有税务机关或代收机关的公章或业务专用章。依法免税或无须缴纳税收的投标人，应提供相应证明文件； 4、提供《供应商信用记录书面声明函》。经查，投标人未被列入“信用中国”网站记录的“失信被执行人”或“重大税收违法案件当事人”名单；不处于“中国政府采购网”记录的“政府采购严重违法失信行为记录名单”中的禁止参加政府采购活动期间； 5、提供书面声明，包括声明具有履行合同所必需的设备和专业技术能力；未为本项目提供整体设计、规范编制或者项目管理、监理、检测等服务。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在注册会计师行业统一监管平台报备并附验证码； （2）其开标前三个月内基本开户银行出具的资信证明；（3）信用担保机构出具的投标担保函。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施工及安全生产</w:t>
            </w:r>
          </w:p>
        </w:tc>
        <w:tc>
          <w:tcPr>
            <w:tcW w:type="dxa" w:w="3322"/>
          </w:tcPr>
          <w:p>
            <w:pPr>
              <w:pStyle w:val="null3"/>
            </w:pPr>
            <w:r>
              <w:rPr>
                <w:rFonts w:ascii="仿宋_GB2312" w:hAnsi="仿宋_GB2312" w:cs="仿宋_GB2312" w:eastAsia="仿宋_GB2312"/>
              </w:rPr>
              <w:t>具备建设行政主管部门颁发的消防设施工程专业承包二级(含)及以上资质，且具有有效的安全生产许可证。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拟派项目经理（建造师）须具备注册建造师(机电工程)二级(含)及以上资格且具备有效的安全生产考核证书，项目经理无在建工程（提供承诺书）。</w:t>
            </w:r>
          </w:p>
        </w:tc>
        <w:tc>
          <w:tcPr>
            <w:tcW w:type="dxa" w:w="1661"/>
          </w:tcPr>
          <w:p>
            <w:pPr>
              <w:pStyle w:val="null3"/>
            </w:pPr>
            <w:r>
              <w:rPr>
                <w:rFonts w:ascii="仿宋_GB2312" w:hAnsi="仿宋_GB2312" w:cs="仿宋_GB2312" w:eastAsia="仿宋_GB2312"/>
              </w:rPr>
              <w:t>项目管理机构组成表 主要人员简历表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确保安全生产的技术组织措施（0-2分），提供安全管理人员和制度，且制度健全（0-2分）;各道工序安全技术措施针对性强，符合实际且满足有关安全技术标准要求（0-2分）;现场防火、安全防护措施得力（0-2分），共计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针对本工程项目特点，应有文明施工计划及措施（0-1分），环境保护措施（0-1分），且计划措施内容达到“安全文明示范工地”标准，各项措施周全、具体、有效（0-1分）;提供针对本项目编制垃圾清运现场环保措施、运输保证措施（0-1）。共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针对本项目拟投入劳动力的安排，工种、数量、劳动力水平配置合理，岗位职责、制度合理明确，满足项目需求（0-2分），除项目经理外，拟派项目组人员具备技术负责人提供高级职称或中级职称（提供得2分，未提供不得分）（0-2分）；其他人员证书:资料员、质量员、施工员、专职安全员等每提供一个岗位证得1分(岗位证重复不计分)（0-4分），未提供不得分。共计8分。 备注:均需单独提供或明显标注本公司缴纳的社保证明，无本公司社保缴纳证明不得分。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图表清晰，主要工序全面。平行、间歇、搭接时间安排合理，流水节拍大小得当，得0-4分。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服务承诺及合理性</w:t>
            </w:r>
          </w:p>
        </w:tc>
        <w:tc>
          <w:tcPr>
            <w:tcW w:type="dxa" w:w="2492"/>
          </w:tcPr>
          <w:p>
            <w:pPr>
              <w:pStyle w:val="null3"/>
            </w:pPr>
            <w:r>
              <w:rPr>
                <w:rFonts w:ascii="仿宋_GB2312" w:hAnsi="仿宋_GB2312" w:cs="仿宋_GB2312" w:eastAsia="仿宋_GB2312"/>
              </w:rPr>
              <w:t>完全承诺文件和合同条款（0-2分）,针对本项目实际需求提供实质性承诺及合理化建议（0-2分）。共4分，不提供不得分。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验收</w:t>
            </w:r>
          </w:p>
        </w:tc>
        <w:tc>
          <w:tcPr>
            <w:tcW w:type="dxa" w:w="2492"/>
          </w:tcPr>
          <w:p>
            <w:pPr>
              <w:pStyle w:val="null3"/>
            </w:pPr>
            <w:r>
              <w:rPr>
                <w:rFonts w:ascii="仿宋_GB2312" w:hAnsi="仿宋_GB2312" w:cs="仿宋_GB2312" w:eastAsia="仿宋_GB2312"/>
              </w:rPr>
              <w:t>具有工程竣工验收、结算、移交的组织措施（0-2分）、配合措施（0-2分）。共4分。不提供不得分。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应急</w:t>
            </w:r>
          </w:p>
        </w:tc>
        <w:tc>
          <w:tcPr>
            <w:tcW w:type="dxa" w:w="2492"/>
          </w:tcPr>
          <w:p>
            <w:pPr>
              <w:pStyle w:val="null3"/>
            </w:pPr>
            <w:r>
              <w:rPr>
                <w:rFonts w:ascii="仿宋_GB2312" w:hAnsi="仿宋_GB2312" w:cs="仿宋_GB2312" w:eastAsia="仿宋_GB2312"/>
              </w:rPr>
              <w:t>有针对本项目编制应急处理措施,包括恶劣天气影响、自然灾害、疫请等特殊情况制定应急处置，每提供一种特殊情况下的应急处置措施，得1分，最高4分。共4分。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具有完整的项目实施整体计划（0-4分）,根据本项目需求编制施工方案（0-4分），施工方案所涉及的施工内容及技术措施全面、详细（0-4分）。共12分。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提供详尽的工程质量保障措施（0-3分）；有专门的质量技术管理机构和制度，且制度健全，具有质量管理体系（0-3分）；主要工序有质量技术保证措施和手段，能有效保证技术质量，承诺的质量标准达到采购要求得（0-3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以合同或成交（中标）通知书的形式提供投标人近三年(2022年至今)同类工程施工业绩，每提供一份计1分，计满3分为止，提供不全或不提供不得分。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投标报价得分＝（评标基准价/投标报价）×价格评审值（注：满足磋商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