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版本号：ZCSP-铜川市-2026-00176、XHLJZC-TC2026-02020260427001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铜川市2026年以工代赈项目评审提升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ZCSP-铜川市-2026-00176、XHLJZC-TC2026-020</w:t>
      </w:r>
      <w:r>
        <w:br/>
      </w:r>
      <w:r>
        <w:br/>
      </w:r>
      <w:r>
        <w:br/>
      </w:r>
    </w:p>
    <w:p>
      <w:pPr>
        <w:pStyle w:val="null3"/>
        <w:jc w:val="center"/>
        <w:outlineLvl w:val="2"/>
      </w:pPr>
      <w:r>
        <w:rPr>
          <w:rFonts w:ascii="仿宋_GB2312" w:hAnsi="仿宋_GB2312" w:cs="仿宋_GB2312" w:eastAsia="仿宋_GB2312"/>
          <w:sz w:val="28"/>
          <w:b/>
        </w:rPr>
        <w:t>铜川市资源型城市转型推进中心</w:t>
      </w:r>
    </w:p>
    <w:p>
      <w:pPr>
        <w:pStyle w:val="null3"/>
        <w:jc w:val="center"/>
        <w:outlineLvl w:val="2"/>
      </w:pPr>
      <w:r>
        <w:rPr>
          <w:rFonts w:ascii="仿宋_GB2312" w:hAnsi="仿宋_GB2312" w:cs="仿宋_GB2312" w:eastAsia="仿宋_GB2312"/>
          <w:sz w:val="28"/>
          <w:b/>
        </w:rPr>
        <w:t>西安欣华联建工程咨询有限公司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西安欣华联建工程咨询有限公司</w:t>
      </w:r>
      <w:r>
        <w:rPr>
          <w:rFonts w:ascii="仿宋_GB2312" w:hAnsi="仿宋_GB2312" w:cs="仿宋_GB2312" w:eastAsia="仿宋_GB2312"/>
        </w:rPr>
        <w:t>（以下简称“代理机构”）受</w:t>
      </w:r>
      <w:r>
        <w:rPr>
          <w:rFonts w:ascii="仿宋_GB2312" w:hAnsi="仿宋_GB2312" w:cs="仿宋_GB2312" w:eastAsia="仿宋_GB2312"/>
        </w:rPr>
        <w:t>铜川市资源型城市转型推进中心</w:t>
      </w:r>
      <w:r>
        <w:rPr>
          <w:rFonts w:ascii="仿宋_GB2312" w:hAnsi="仿宋_GB2312" w:cs="仿宋_GB2312" w:eastAsia="仿宋_GB2312"/>
        </w:rPr>
        <w:t>委托，拟对</w:t>
      </w:r>
      <w:r>
        <w:rPr>
          <w:rFonts w:ascii="仿宋_GB2312" w:hAnsi="仿宋_GB2312" w:cs="仿宋_GB2312" w:eastAsia="仿宋_GB2312"/>
        </w:rPr>
        <w:t>铜川市2026年以工代赈项目评审提升</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ZCSP-铜川市-2026-00176、XHLJZC-TC2026-020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铜川市2026年以工代赈项目评审提升</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铜川市2026年以工代赈项目评审提升，详见磋商文件。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采购包1（铜川市资源型城市转型推进中心铜川市2026年以工代赈项目评审提升）：属于专门面向中小企业采购。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1、具有独立承担民事责任的能力：供应商应具有独立承担民事责任的能力且具备向采购人提供相关服务的企业法人、其他组织，企业法人应提供统一社会信用代码的营业执照；其他组织应提供合法证明文件。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2、供应商授权合法的人员参加投标全过程：法定代表人授权委托书（附法定代表人身份证复印件）及被授权委托人身份证（法定代表人参加磋商只须提供法定代表人身份证）。</w:t>
      </w:r>
    </w:p>
    <w:p>
      <w:pPr>
        <w:pStyle w:val="null3"/>
      </w:pPr>
      <w:r>
        <w:rPr>
          <w:rFonts w:ascii="仿宋_GB2312" w:hAnsi="仿宋_GB2312" w:cs="仿宋_GB2312" w:eastAsia="仿宋_GB2312"/>
        </w:rPr>
        <w:t>3、具有良好的商业信誉和健全的财务会计制度：提供2024年度经审计并通过注册会计师行业统一监管平台备案赋码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2025年1月以来任意3个月依法缴纳税收和社会保险的相关证明材料；注：依法免税或不需要缴纳社会保险的供应商提供相关部门出具的证明文件。（以税款所属时期为准）</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7、投标承诺：单位负责人为同一人或者存在直接控股、管理关系的不同供应商，不得参加同一合同项下的政府采购活动。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8、资格条件：具备建设主管部门颁发的工程设计综合资质甲级或建筑行业工程设计乙级及以上资质或建筑行业(建筑工程)乙级及以上资质。</w:t>
      </w:r>
    </w:p>
    <w:p>
      <w:pPr>
        <w:pStyle w:val="null3"/>
      </w:pPr>
      <w:r>
        <w:rPr>
          <w:rFonts w:ascii="仿宋_GB2312" w:hAnsi="仿宋_GB2312" w:cs="仿宋_GB2312" w:eastAsia="仿宋_GB2312"/>
        </w:rPr>
        <w:t>9、声明函：提供《中小企业声明函》；监狱企业应提供监狱企业相关资格证明材料；残疾人福利性单位应提供《残疾人福利性单位声明函》。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铜川市资源型城市转型推进中心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铜川市新区正阳路9号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0919-3189176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西安欣华联建工程咨询有限公司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陕西省西安市高新区科技二路71号竹园天寰国际14层1404室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贾静雯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029-89182232、029-89183511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原《国家计委关于印发&lt;招标代理服务收费管理暂行办法&gt;的通知》（计价格〔2002〕1980号）、《国家发展改革委办公厅关于招标代理服务收费有关问题的通知》（发改办价格〔2003〕857号）的规定标准执行，按差额定率累进法收取费用，100万以下按1.5%收取，100万-500万按0.8%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铜川市资源型城市转型推进中心</w:t>
      </w:r>
      <w:r>
        <w:rPr>
          <w:rFonts w:ascii="仿宋_GB2312" w:hAnsi="仿宋_GB2312" w:cs="仿宋_GB2312" w:eastAsia="仿宋_GB2312"/>
        </w:rPr>
        <w:t>和</w:t>
      </w:r>
      <w:r>
        <w:rPr>
          <w:rFonts w:ascii="仿宋_GB2312" w:hAnsi="仿宋_GB2312" w:cs="仿宋_GB2312" w:eastAsia="仿宋_GB2312"/>
        </w:rPr>
        <w:t>西安欣华联建工程咨询有限公司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铜川市资源型城市转型推进中心</w:t>
      </w:r>
      <w:r>
        <w:rPr>
          <w:rFonts w:ascii="仿宋_GB2312" w:hAnsi="仿宋_GB2312" w:cs="仿宋_GB2312" w:eastAsia="仿宋_GB2312"/>
        </w:rPr>
        <w:t>负责解释。除上述磋商文件内容，其他内容由</w:t>
      </w:r>
      <w:r>
        <w:rPr>
          <w:rFonts w:ascii="仿宋_GB2312" w:hAnsi="仿宋_GB2312" w:cs="仿宋_GB2312" w:eastAsia="仿宋_GB2312"/>
        </w:rPr>
        <w:t>西安欣华联建工程咨询有限公司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铜川市资源型城市转型推进中心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西安欣华联建工程咨询有限公司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联系人：贾静雯</w:t>
      </w:r>
    </w:p>
    <w:p>
      <w:pPr>
        <w:pStyle w:val="null3"/>
      </w:pPr>
      <w:r>
        <w:rPr>
          <w:rFonts w:ascii="仿宋_GB2312" w:hAnsi="仿宋_GB2312" w:cs="仿宋_GB2312" w:eastAsia="仿宋_GB2312"/>
        </w:rPr>
        <w:t>联系电话：029-89182232、029-89183511</w:t>
      </w:r>
    </w:p>
    <w:p>
      <w:pPr>
        <w:pStyle w:val="null3"/>
      </w:pPr>
      <w:r>
        <w:rPr>
          <w:rFonts w:ascii="仿宋_GB2312" w:hAnsi="仿宋_GB2312" w:cs="仿宋_GB2312" w:eastAsia="仿宋_GB2312"/>
        </w:rPr>
        <w:t>地址：陕西省西安市高新区科技二路71号竹园天寰国际14层1404室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铜川市2026年以工代赈项目评审提升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以工代赈项目评审服务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件</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标的名称：以工代赈项目评审服务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一、审查主要内容</w:t>
            </w:r>
            <w:r>
              <w:rPr>
                <w:rFonts w:ascii="仿宋_GB2312" w:hAnsi="仿宋_GB2312" w:cs="仿宋_GB2312" w:eastAsia="仿宋_GB2312"/>
                <w:sz w:val="21"/>
                <w:b/>
              </w:rPr>
              <w:t>：</w:t>
            </w:r>
          </w:p>
          <w:p>
            <w:pPr>
              <w:pStyle w:val="null3"/>
              <w:jc w:val="both"/>
            </w:pPr>
            <w:r>
              <w:rPr>
                <w:rFonts w:ascii="仿宋_GB2312" w:hAnsi="仿宋_GB2312" w:cs="仿宋_GB2312" w:eastAsia="仿宋_GB2312"/>
                <w:sz w:val="21"/>
              </w:rPr>
              <w:t>（一）政策合规性审查</w:t>
            </w:r>
          </w:p>
          <w:p>
            <w:pPr>
              <w:pStyle w:val="null3"/>
              <w:ind w:firstLine="560"/>
              <w:jc w:val="both"/>
            </w:pPr>
            <w:r>
              <w:rPr>
                <w:rFonts w:ascii="仿宋_GB2312" w:hAnsi="仿宋_GB2312" w:cs="仿宋_GB2312" w:eastAsia="仿宋_GB2312"/>
                <w:sz w:val="21"/>
              </w:rPr>
              <w:t>1.核查可行性研究报告是否符合国家以工代赈管理办法、陕西省以工代赈政策及市级相关工作要求，项目投向、建设内容、实施方式合规。</w:t>
            </w:r>
          </w:p>
          <w:p>
            <w:pPr>
              <w:pStyle w:val="null3"/>
              <w:ind w:firstLine="560"/>
              <w:jc w:val="both"/>
            </w:pPr>
            <w:r>
              <w:rPr>
                <w:rFonts w:ascii="仿宋_GB2312" w:hAnsi="仿宋_GB2312" w:cs="仿宋_GB2312" w:eastAsia="仿宋_GB2312"/>
                <w:sz w:val="21"/>
              </w:rPr>
              <w:t>2.核查劳务报酬发放比例是否达标，劳务报酬测算、发放方案、资金保障是否符合以工代赈核心要求。</w:t>
            </w:r>
          </w:p>
          <w:p>
            <w:pPr>
              <w:pStyle w:val="null3"/>
              <w:ind w:firstLine="560"/>
              <w:jc w:val="both"/>
            </w:pPr>
            <w:r>
              <w:rPr>
                <w:rFonts w:ascii="仿宋_GB2312" w:hAnsi="仿宋_GB2312" w:cs="仿宋_GB2312" w:eastAsia="仿宋_GB2312"/>
                <w:sz w:val="21"/>
              </w:rPr>
              <w:t>3.核查报告文本结构、章节内容、论证深度是否满足可行性研究报告编制规范与审批要求。</w:t>
            </w:r>
          </w:p>
          <w:p>
            <w:pPr>
              <w:pStyle w:val="null3"/>
              <w:jc w:val="both"/>
            </w:pPr>
            <w:r>
              <w:rPr>
                <w:rFonts w:ascii="仿宋_GB2312" w:hAnsi="仿宋_GB2312" w:cs="仿宋_GB2312" w:eastAsia="仿宋_GB2312"/>
                <w:sz w:val="21"/>
              </w:rPr>
              <w:t>（二）投资概算审查</w:t>
            </w:r>
          </w:p>
          <w:p>
            <w:pPr>
              <w:pStyle w:val="null3"/>
              <w:ind w:firstLine="560"/>
              <w:jc w:val="both"/>
            </w:pPr>
            <w:r>
              <w:rPr>
                <w:rFonts w:ascii="仿宋_GB2312" w:hAnsi="仿宋_GB2312" w:cs="仿宋_GB2312" w:eastAsia="仿宋_GB2312"/>
                <w:sz w:val="21"/>
              </w:rPr>
              <w:t>1.对可行性研究报告中投资概算编制依据、定额套用、取费标准、材料价格进行全面审核，确保造价合理、测算精准。</w:t>
            </w:r>
          </w:p>
          <w:p>
            <w:pPr>
              <w:pStyle w:val="null3"/>
              <w:ind w:firstLine="560"/>
              <w:jc w:val="both"/>
            </w:pPr>
            <w:r>
              <w:rPr>
                <w:rFonts w:ascii="仿宋_GB2312" w:hAnsi="仿宋_GB2312" w:cs="仿宋_GB2312" w:eastAsia="仿宋_GB2312"/>
                <w:sz w:val="21"/>
              </w:rPr>
              <w:t>2.核查概算总额、分项投资是否符合以工代赈项目限价要求，杜绝超标准、超规模、超概算问题。</w:t>
            </w:r>
          </w:p>
          <w:p>
            <w:pPr>
              <w:pStyle w:val="null3"/>
              <w:ind w:firstLine="560"/>
              <w:jc w:val="both"/>
            </w:pPr>
            <w:r>
              <w:rPr>
                <w:rFonts w:ascii="仿宋_GB2312" w:hAnsi="仿宋_GB2312" w:cs="仿宋_GB2312" w:eastAsia="仿宋_GB2312"/>
                <w:sz w:val="21"/>
              </w:rPr>
              <w:t>3.出具概算审查意见，明确核增核减理由与调整建议。</w:t>
            </w:r>
          </w:p>
          <w:p>
            <w:pPr>
              <w:pStyle w:val="null3"/>
              <w:jc w:val="both"/>
            </w:pPr>
            <w:r>
              <w:rPr>
                <w:rFonts w:ascii="仿宋_GB2312" w:hAnsi="仿宋_GB2312" w:cs="仿宋_GB2312" w:eastAsia="仿宋_GB2312"/>
                <w:sz w:val="21"/>
              </w:rPr>
              <w:t>（三）成果质量要求</w:t>
            </w:r>
          </w:p>
          <w:p>
            <w:pPr>
              <w:pStyle w:val="null3"/>
              <w:ind w:firstLine="560"/>
              <w:jc w:val="both"/>
            </w:pPr>
            <w:r>
              <w:rPr>
                <w:rFonts w:ascii="仿宋_GB2312" w:hAnsi="仿宋_GB2312" w:cs="仿宋_GB2312" w:eastAsia="仿宋_GB2312"/>
                <w:sz w:val="21"/>
              </w:rPr>
              <w:t>1.审查完成后形成正式审查意见书，逐项目列明问题、整改建议、合规结论。</w:t>
            </w:r>
          </w:p>
          <w:p>
            <w:pPr>
              <w:pStyle w:val="null3"/>
              <w:ind w:firstLine="560"/>
              <w:jc w:val="both"/>
            </w:pPr>
            <w:r>
              <w:rPr>
                <w:rFonts w:ascii="仿宋_GB2312" w:hAnsi="仿宋_GB2312" w:cs="仿宋_GB2312" w:eastAsia="仿宋_GB2312"/>
                <w:sz w:val="21"/>
              </w:rPr>
              <w:t>2.经审查修改后由市级报送省级的可行性研究报告，省级技术审查通过率80%及以上。</w:t>
            </w:r>
          </w:p>
          <w:p>
            <w:pPr>
              <w:pStyle w:val="null3"/>
            </w:pPr>
            <w:r>
              <w:rPr>
                <w:rFonts w:ascii="仿宋_GB2312" w:hAnsi="仿宋_GB2312" w:cs="仿宋_GB2312" w:eastAsia="仿宋_GB2312"/>
                <w:sz w:val="21"/>
              </w:rPr>
              <w:t xml:space="preserve">         3.配合招标单位完成项目上报、答疑、补正等全流程技术支撑。</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自合同签订之日起，至2026年度末以工代赈项目市级上报省级工作全部完成。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铜川市资源型城市转型推进中心指定地点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2026年12月10前完成最终定稿提交采购人审核通过后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逾期付款，应就逾期部分向供应商支付按照中国人民银行规定的同期贷款基准利率计算的逾期付款违约金。2、采购人违反合同规定拒绝接收服务的，应当承担由此对供应商造成的损失。3、供应商不能按期完成服务的，每逾期1日，应向采购人赔付合同总价的0.1%作为违约金。4、供应商所提供的服务不符合国家法律法规和合同规定的，采购人有权拒收，并由供应商承担一切费用。争议解决：双方本着友好合作的态度,对合同履行过程中发生的违约行为进行及时的协商解决,如不能协商解决可向采购人住所地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供应商应具有独立承担民事责任的能力且具备向采购人提供相关服务的企业法人、其他组织，企业法人应提供统一社会信用代码的营业执照；其他组织应提供合法证明文件。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法定代表人授权委托书（附法定代表人身份证复印件）及被授权委托人身份证（法定代表人参加磋商只须提供法定代表人身份证）。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提供2024年度经审计并通过注册会计师行业统一监管平台备案赋码的财务报告或开标前六个月内其基本账户银行出具的资信证明或财政部门认可的政府采购专业担保机构出具的担保函。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提供2025年1月以来任意3个月依法缴纳税收和社会保险的相关证明材料；注：依法免税或不需要缴纳社会保险的供应商提供相关部门出具的证明文件。（以税款所属时期为准）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资格条件</w:t>
            </w:r>
          </w:p>
        </w:tc>
        <w:tc>
          <w:tcPr>
            <w:tcW w:type="dxa" w:w="3322"/>
          </w:tcPr>
          <w:p>
            <w:pPr>
              <w:pStyle w:val="null3"/>
            </w:pPr>
            <w:r>
              <w:rPr>
                <w:rFonts w:ascii="仿宋_GB2312" w:hAnsi="仿宋_GB2312" w:cs="仿宋_GB2312" w:eastAsia="仿宋_GB2312"/>
              </w:rPr>
              <w:t>具备建设主管部门颁发的工程设计综合资质甲级或建筑行业工程设计乙级及以上资质或建筑行业(建筑工程)乙级及以上资质。</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提供《中小企业声明函》；监狱企业应提供监狱企业相关资格证明材料；残疾人福利性单位应提供《残疾人福利性单位声明函》。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评审中出现下列情形之一的，磋商小组应当启动异常低价响应审查程序： ①响应报价低于全部通过符合性审查供应商响应报价平均值50%的，即响应报价＜全部通过符合性审查供应商响应报价平均值×50%； ②响应报价低于通过符合性审查的次低报价供应商响应报价50%的，即响应报价＜通过符合性审查的次低报价供应商响应报价×50%； ③响应报价低于采购项目最高限价45%的，即响应报价＜采购项目最高限价×45%； ④磋商小组基于专业判断，认为供应商报价过低，有可能影响产品质量或者不能诚信履约的其他情形。 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 响应供应商不能提供书面说明、证明材料，或者提供的书面说明、证明材料不能证明其报价合理性的，磋商小组应当将其作为无效响应处理。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 （实质性要求）</w:t>
            </w:r>
          </w:p>
        </w:tc>
        <w:tc>
          <w:tcPr>
            <w:tcW w:type="dxa" w:w="3322"/>
          </w:tcPr>
          <w:p>
            <w:pPr>
              <w:pStyle w:val="null3"/>
            </w:pPr>
            <w:r>
              <w:rPr>
                <w:rFonts w:ascii="仿宋_GB2312" w:hAnsi="仿宋_GB2312" w:cs="仿宋_GB2312" w:eastAsia="仿宋_GB2312"/>
              </w:rPr>
              <w:t>响应文件、响应函加盖单位公章、经法定代表人或被授权委托人签字或盖章</w:t>
            </w:r>
          </w:p>
        </w:tc>
        <w:tc>
          <w:tcPr>
            <w:tcW w:type="dxa" w:w="1661"/>
          </w:tcPr>
          <w:p>
            <w:pPr>
              <w:pStyle w:val="null3"/>
            </w:pPr>
            <w:r>
              <w:rPr>
                <w:rFonts w:ascii="仿宋_GB2312" w:hAnsi="仿宋_GB2312" w:cs="仿宋_GB2312" w:eastAsia="仿宋_GB2312"/>
              </w:rPr>
              <w:t>中小企业声明函 技术要求响应表 报价表 商务要求响应表 响应文件封面 费用组成表 政府采购供应商拒绝政府采购领域商业贿赂承诺书 磋商方案说明 残疾人福利性单位声明函 标的清单 供应商承诺书 响应函 业绩证明文件 监狱企业的证明文件 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 （实质性要求）</w:t>
            </w:r>
          </w:p>
        </w:tc>
        <w:tc>
          <w:tcPr>
            <w:tcW w:type="dxa" w:w="3322"/>
          </w:tcPr>
          <w:p>
            <w:pPr>
              <w:pStyle w:val="null3"/>
            </w:pPr>
            <w:r>
              <w:rPr>
                <w:rFonts w:ascii="仿宋_GB2312" w:hAnsi="仿宋_GB2312" w:cs="仿宋_GB2312" w:eastAsia="仿宋_GB2312"/>
              </w:rPr>
              <w:t>从提交竞争性磋商响应文件的截止之日起不少于90日历日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 （实质性要求）</w:t>
            </w:r>
          </w:p>
        </w:tc>
        <w:tc>
          <w:tcPr>
            <w:tcW w:type="dxa" w:w="3322"/>
          </w:tcPr>
          <w:p>
            <w:pPr>
              <w:pStyle w:val="null3"/>
            </w:pPr>
            <w:r>
              <w:rPr>
                <w:rFonts w:ascii="仿宋_GB2312" w:hAnsi="仿宋_GB2312" w:cs="仿宋_GB2312" w:eastAsia="仿宋_GB2312"/>
              </w:rPr>
              <w:t>（1）报价未超过本项目预算金额（2）未出现选择性报价</w:t>
            </w:r>
          </w:p>
        </w:tc>
        <w:tc>
          <w:tcPr>
            <w:tcW w:type="dxa" w:w="1661"/>
          </w:tcPr>
          <w:p>
            <w:pPr>
              <w:pStyle w:val="null3"/>
            </w:pPr>
            <w:r>
              <w:rPr>
                <w:rFonts w:ascii="仿宋_GB2312" w:hAnsi="仿宋_GB2312" w:cs="仿宋_GB2312" w:eastAsia="仿宋_GB2312"/>
              </w:rPr>
              <w:t>费用组成表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 （实质性要求）</w:t>
            </w:r>
          </w:p>
        </w:tc>
        <w:tc>
          <w:tcPr>
            <w:tcW w:type="dxa" w:w="3322"/>
          </w:tcPr>
          <w:p>
            <w:pPr>
              <w:pStyle w:val="null3"/>
            </w:pPr>
            <w:r>
              <w:rPr>
                <w:rFonts w:ascii="仿宋_GB2312" w:hAnsi="仿宋_GB2312" w:cs="仿宋_GB2312" w:eastAsia="仿宋_GB2312"/>
              </w:rPr>
              <w:t>（1）符合商务、技术要求，不存在重大负偏离（2）未附有采购人不能接受的条件（3）符合磋商文件规定的其他实质性要求（4）未违反《中华人民共和国政府采购法》和其他相关法律、法规的规定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商务要求</w:t>
            </w:r>
          </w:p>
        </w:tc>
        <w:tc>
          <w:tcPr>
            <w:tcW w:type="dxa" w:w="2492"/>
          </w:tcPr>
          <w:p>
            <w:pPr>
              <w:pStyle w:val="null3"/>
            </w:pPr>
            <w:r>
              <w:rPr>
                <w:rFonts w:ascii="仿宋_GB2312" w:hAnsi="仿宋_GB2312" w:cs="仿宋_GB2312" w:eastAsia="仿宋_GB2312"/>
              </w:rPr>
              <w:t>对商务要求完全响应磋商文件要求的得3分。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商务要求响应表</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1、评审内容 供应商提供针对本项目的总体服务方案，内容包括： ①政策合规性审查； ②投资概算审查； ③成果产出。 2、评审标准 ①完整性：方案须全面，对评审内容中的各项要求有详细描述及说明； ②可实施性：切合本项目实际情况，实施步骤清晰、合理； ③针对性：方案能够紧扣项目实际情况，内容科学合理。 3、赋分标准 ①政策合规性审查：每完全满足一项评审标准得2分，部分满足得1分，不满足或未提供不得分，满分6分； ②投资概算审查：每完全满足一项评审标准得2分，部分满足得1分，不满足或未提供不得分，满分6分； ③成果产出：每完全满足一项评审标准得2分，部分满足得1分，不满足或未提供不得分，满分6分。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项目实施规划</w:t>
            </w:r>
          </w:p>
        </w:tc>
        <w:tc>
          <w:tcPr>
            <w:tcW w:type="dxa" w:w="2492"/>
          </w:tcPr>
          <w:p>
            <w:pPr>
              <w:pStyle w:val="null3"/>
            </w:pPr>
            <w:r>
              <w:rPr>
                <w:rFonts w:ascii="仿宋_GB2312" w:hAnsi="仿宋_GB2312" w:cs="仿宋_GB2312" w:eastAsia="仿宋_GB2312"/>
              </w:rPr>
              <w:t>1、评审内容 供应商提供针对本项目的项目实施规划，内容包括： ①项目计划安排； ②项目质量保障； ③项目风险管控。 2、评审标准 ①完整性：方案须全面，对评审内容中的各项要求有详细描述及说明； ②可实施性：切合本项目实际情况，实施步骤清晰、合理； ③针对性：方案能够紧扣项目实际情况，内容科学合理。 3、赋分标准 ①项目计划安排：每完全满足一项评审标准得1分，满分3分； ②项目质量保障：每完全满足一项评审标准得1分，满分3分； ③项目风险管控：每完全满足一项评审标准得1分，满分3分。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需求分析与重点难点解决方案</w:t>
            </w:r>
          </w:p>
        </w:tc>
        <w:tc>
          <w:tcPr>
            <w:tcW w:type="dxa" w:w="2492"/>
          </w:tcPr>
          <w:p>
            <w:pPr>
              <w:pStyle w:val="null3"/>
            </w:pPr>
            <w:r>
              <w:rPr>
                <w:rFonts w:ascii="仿宋_GB2312" w:hAnsi="仿宋_GB2312" w:cs="仿宋_GB2312" w:eastAsia="仿宋_GB2312"/>
              </w:rPr>
              <w:t>1、评审内容 供应商提供针对本项目的需求分析与重点难点解决方案，内容包括： ①对采购需求分析； ②执行过程中的重点、难点问题分析； ③针对重点、难点问题的解决方案。 2、评审标准 ①完整性：方案内容全面，对评审内容中的各项要求有详细描述及说明； ②可实施性：方案科学合理，可操作性强； ③针对性：方案能紧扣本项目实际情况，满足本项目各项具体要求。 3、赋分标准 ①对采购需求分析：每完全满足一项评审标准得1分，满分3分； ②执行过程中的重点、难点问题分析：每完全满足一项评审标准得1分，满分3分； ③针对重点、难点问题的解决方案：每完全满足一项评审标准得1分，满分3分。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1、评审内容 供应商提供针对本项目的应急措施，项目实施过程中针对突发事件和重大业务时间节点的风险防范措施及应急突发事件的处理预案。 2、评审标准 ①完整性：方案内容全面，对评审内容中的各项要求有详细描述及说明； ②可实施性：方案科学合理，可操作性强； ③针对性：方案能紧扣本项目实际情况，满足本项目各项具体要求。 3、赋分标准 每完全满足一项评审标准得3分，部分满足得1.5分，不满足或未提供不得分，满分9分。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1、评审内容（本项满分6分） 供应商提供拟派本项目工作人员组成情况（有具体成员名单，包括姓名、工作经验、工作职责、联系方式等） 2、评审标准 ①完整性：组织机构的运行配备完善、各岗位人员分工明确合理。 ②针对性：人员数量充足，人员资格/年龄等符合采购需求； ③专业性：人员相关岗位经验丰富，切合本项目实际情况。 3、赋分标准 每完全满足一项评审标准得2分，部分满足得1分，不满足或未提供不得分，满分6分。 4、项目团队（本项满分8分） 项目团队具备相关专业高级职称，每提供1人，计2分；具备相关专业中级职称，每提供1人，计1分。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组织协调措施</w:t>
            </w:r>
          </w:p>
        </w:tc>
        <w:tc>
          <w:tcPr>
            <w:tcW w:type="dxa" w:w="2492"/>
          </w:tcPr>
          <w:p>
            <w:pPr>
              <w:pStyle w:val="null3"/>
            </w:pPr>
            <w:r>
              <w:rPr>
                <w:rFonts w:ascii="仿宋_GB2312" w:hAnsi="仿宋_GB2312" w:cs="仿宋_GB2312" w:eastAsia="仿宋_GB2312"/>
              </w:rPr>
              <w:t>1、评审内容 供应商提供针对本项目实施过程中与有关部门的组织协调措施。 2、评审标准 ①完整性：措施内容全面，对评审内容中的各项要求有详细描述及说明； ②可实施性：措施科学合理，可操作性强； ③针对性：措施能紧扣本项目实际情况，满足本项目各项具体要求。 3、赋分标准 每完全满足一项评审标准得3分，部分满足得1.5分，不满足或未提供不得分，满分9分。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安全保密方案</w:t>
            </w:r>
          </w:p>
        </w:tc>
        <w:tc>
          <w:tcPr>
            <w:tcW w:type="dxa" w:w="2492"/>
          </w:tcPr>
          <w:p>
            <w:pPr>
              <w:pStyle w:val="null3"/>
            </w:pPr>
            <w:r>
              <w:rPr>
                <w:rFonts w:ascii="仿宋_GB2312" w:hAnsi="仿宋_GB2312" w:cs="仿宋_GB2312" w:eastAsia="仿宋_GB2312"/>
              </w:rPr>
              <w:t>1、评审内容 供应商提供针对本项目的安全保密方案应包括: ①保密管理制度； ②保密方式及措施。 2、评审标准 ①完整性：方案必须全面，对评审内容中的各项要求有详细描述； ②可实施性：切合本项目实际情况，提出步骤清晰、合理的方案； ③针对性：方案能够紧扣项目实际情况，内容科学合理。 3、赋分标准 ①保密管理制度：每完全满足一项评审标准得1.5分，满分4.5分； ②保密方式及措施：每完全满足一项评审标准得1.5分，满分4.5分。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1、评审内容 供应商提供针对本项目的合理化建议。 2、评审标准 ①完整性：内容须全面，对评审内容中的各项要求有详细描述及说明； ②可实施性：切合本项目实际情况，步骤清晰、合理，操作性强； ③针对性：内容能够紧扣项目实际情况，内容科学合理。 3、赋分标准 每完全满足一项评审标准得2分，部分满足得1分，不满足或未提供不得分，满分6分。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磋商方案说明</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提供2023年1月1日以来供应商类似项目的业绩合同（以合同签订日期为准），附业绩合同复印件加盖公章，每份2分，满分4分；未提供不计分。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磋商文件要求且最终报价最低的供应商的价格为磋商基准价，其价格得分为满分。其他供应商的价格得分统一按照下列公式计算：磋商报价得分=（磋商基价/最终磋商报价）×价格权值（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详见附件：磋商方案说明</w:t>
      </w:r>
    </w:p>
    <w:p>
      <w:pPr>
        <w:pStyle w:val="null3"/>
        <w:ind w:firstLine="960"/>
      </w:pPr>
      <w:r>
        <w:rPr>
          <w:rFonts w:ascii="仿宋_GB2312" w:hAnsi="仿宋_GB2312" w:cs="仿宋_GB2312" w:eastAsia="仿宋_GB2312"/>
        </w:rPr>
        <w:t>详见附件：费用组成表</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详见附件：业绩证明文件</w:t>
      </w:r>
    </w:p>
    <w:p>
      <w:pPr>
        <w:pStyle w:val="null3"/>
        <w:ind w:firstLine="960"/>
      </w:pPr>
      <w:r>
        <w:rPr>
          <w:rFonts w:ascii="仿宋_GB2312" w:hAnsi="仿宋_GB2312" w:cs="仿宋_GB2312" w:eastAsia="仿宋_GB2312"/>
        </w:rPr>
        <w:t>详见附件：政府采购供应商拒绝政府采购领域商业贿赂承诺书</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