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版本号：TCZFCG-2026-0012120260420001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TCZFCG-2026-00121</w:t>
      </w:r>
      <w:r>
        <w:br/>
      </w:r>
      <w:r>
        <w:br/>
      </w:r>
      <w:r>
        <w:br/>
      </w:r>
    </w:p>
    <w:p>
      <w:pPr>
        <w:pStyle w:val="null3"/>
        <w:jc w:val="center"/>
        <w:outlineLvl w:val="2"/>
      </w:pPr>
      <w:r>
        <w:rPr>
          <w:rFonts w:ascii="仿宋_GB2312" w:hAnsi="仿宋_GB2312" w:cs="仿宋_GB2312" w:eastAsia="仿宋_GB2312"/>
          <w:sz w:val="28"/>
          <w:b/>
        </w:rPr>
        <w:t>铜川体育馆</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铜川体育馆</w:t>
      </w:r>
      <w:r>
        <w:rPr>
          <w:rFonts w:ascii="仿宋_GB2312" w:hAnsi="仿宋_GB2312" w:cs="仿宋_GB2312" w:eastAsia="仿宋_GB2312"/>
        </w:rPr>
        <w:t>委托，拟对</w:t>
      </w:r>
      <w:r>
        <w:rPr>
          <w:rFonts w:ascii="仿宋_GB2312" w:hAnsi="仿宋_GB2312" w:cs="仿宋_GB2312" w:eastAsia="仿宋_GB2312"/>
        </w:rPr>
        <w:t>物业管理服务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TCZFCG-2026-00121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物业管理服务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全民健身馆位于铜川市新区华夏南道以西，占地面积约60亩，总建筑面积10300㎡，馆外广场约10000㎡，场馆西侧有室外停车场一个，地上1层、局部3层，建筑高度为20.45m。以及篮球5块、乒乓球10块、羽毛球10块、健身房等多种运动健身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铜川体育馆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铜川市新区华夏南道铜川体育馆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13209192868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铜川体育馆</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铜川体育馆</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铜川体育馆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按行业规范、合同约定执行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铜川体育馆</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全民健身馆位于铜川市新区华夏南道以西，占地面积约60亩，总建筑面积10300㎡，馆外广场约10000㎡，场馆西侧有室外停车场一个，地上1层、局部3层，建筑高度为20.45m。以及篮球5块、乒乓球10块、羽毛球10块、健身房等多种运动健身项目。配备人员：男性（9人，25-60岁）、女性（5人，25-55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588,000.00</w:t>
      </w:r>
    </w:p>
    <w:p>
      <w:pPr>
        <w:pStyle w:val="null3"/>
      </w:pPr>
      <w:r>
        <w:rPr>
          <w:rFonts w:ascii="仿宋_GB2312" w:hAnsi="仿宋_GB2312" w:cs="仿宋_GB2312" w:eastAsia="仿宋_GB2312"/>
        </w:rPr>
        <w:t>采购包最高限价（元）: 588,000.00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2026年铜川市全民健身馆物业管理服务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标的名称：2026年铜川市全民健身馆物业管理服务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男性9人（秩序维护6人，维修1人，绿化1人，配电室1人，年龄25-60岁），女性5人（消防员1人持有消防证，保洁4人，年龄25-55岁）。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铜川市全民健身馆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完成约定服务项目，满意度达到95%以上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验收合格后。按季度付费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验收合格后。按季度付费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验收合格后。按季度付费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验收合格后。按季度付费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双方在履行合同过程中，如发生争议，应首先通过友好协商解决；若协商不成，可将争议提交至合同签订地的人民法院诉讼解决。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社保缴纳证明：近期已缴存的社会保障资金缴存单据或社保机构开具的社会保险参保缴费情况证明。依法不需要缴纳社会保障资金的供应商应提供相关文件证明；税收缴纳证明：近期已缴纳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善的财务制度。财务状况报告（二选一）：①提供近期经审计的财务会计报告（至少包括审计报告、资产负债表和利润表，成立时间至提交投标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1、根据采购文件制定详细可行的物业管理实施方案0-7分；2、建立和执行岗位职责、服务流程与标准、员工守则等管理制度，有配套考核办法0-7分。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管理制度与措施</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编制项目管理机构、工作职能组织运行图，阐述项目经理的管理职责、内部管理的职责分工，日常管理制度完善、程序规范，符合项目实际需求，根据各供应商响应情况计0-10分。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组织机构健全，人员配备数量与质量符合要求。提供具备岗位所要求的真实有效的技术岗位操作证书、健康证明或证书证明。每提供一份材料得1分，满分14分。不提供不得分（服务本项目的所有人员必须提供有效的健康证。）</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服务优势</w:t>
            </w:r>
          </w:p>
        </w:tc>
        <w:tc>
          <w:tcPr>
            <w:tcW w:type="dxa" w:w="2492"/>
          </w:tcPr>
          <w:p>
            <w:pPr>
              <w:pStyle w:val="null3"/>
            </w:pPr>
            <w:r>
              <w:rPr>
                <w:rFonts w:ascii="仿宋_GB2312" w:hAnsi="仿宋_GB2312" w:cs="仿宋_GB2312" w:eastAsia="仿宋_GB2312"/>
              </w:rPr>
              <w:t>结合项目实际情况，对供应商的自身服务优势、服务特点等内容由评标委员会综合评审。计0-10分。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投标人提供三标体系（ISO9001、ISO14001、ISO45001）认证得3分；提供其中任意一项得1分；提供其中任意二项得2分。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根据供应商的服务承诺的合理性、可行性进行评价，由评标委员会综合评审。计0-7分。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针对各种突发事件的应急预案全面、具体、可行性进行评审，0-6分。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能够提供自2023年1月至今公共物业服务的业绩，每项计2分，本项最高得6分（加盖鲜章的合同复印件及加盖鲜章中标通知书，原件备查，否则不得分）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