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（工程类）</w:t>
      </w:r>
      <w:r>
        <w:br/>
      </w:r>
      <w:r>
        <w:br/>
      </w:r>
      <w:r>
        <w:br/>
      </w:r>
      <w:r>
        <w:br/>
      </w:r>
      <w:r>
        <w:br/>
      </w:r>
      <w:r>
        <w:br/>
      </w:r>
      <w:r>
        <w:br/>
      </w:r>
      <w:r>
        <w:br/>
      </w:r>
      <w:r>
        <w:br/>
      </w:r>
      <w:r>
        <w:br/>
      </w:r>
      <w:r>
        <w:br/>
      </w:r>
    </w:p>
    <w:p>
      <w:pPr>
        <w:pStyle w:val="null3"/>
        <w:jc w:val="center"/>
        <w:outlineLvl w:val="2"/>
      </w:pPr>
      <w:r>
        <w:rPr>
          <w:b/>
          <w:sz w:val="28"/>
        </w:rPr>
        <w:t>采购项目名称：</w:t>
      </w:r>
      <w:r>
        <w:rPr>
          <w:b/>
          <w:sz w:val="28"/>
        </w:rPr>
        <w:t>铜川市王益区2024年春节氛围营造工程</w:t>
      </w:r>
    </w:p>
    <w:p>
      <w:pPr>
        <w:pStyle w:val="null3"/>
        <w:jc w:val="center"/>
        <w:outlineLvl w:val="2"/>
      </w:pPr>
      <w:r>
        <w:rPr>
          <w:b/>
          <w:sz w:val="28"/>
        </w:rPr>
        <w:t>采购项目编号：</w:t>
      </w:r>
      <w:r>
        <w:rPr>
          <w:b/>
          <w:sz w:val="28"/>
        </w:rPr>
        <w:t>XWT-2024XAZC138</w:t>
      </w:r>
      <w:r>
        <w:br/>
      </w:r>
      <w:r>
        <w:br/>
      </w:r>
      <w:r>
        <w:br/>
      </w:r>
    </w:p>
    <w:p>
      <w:pPr>
        <w:pStyle w:val="null3"/>
        <w:jc w:val="center"/>
        <w:outlineLvl w:val="2"/>
      </w:pPr>
      <w:r>
        <w:rPr>
          <w:b/>
          <w:sz w:val="28"/>
        </w:rPr>
        <w:t>铜川市王益区市政园林工程管理所</w:t>
      </w:r>
    </w:p>
    <w:p>
      <w:pPr>
        <w:pStyle w:val="null3"/>
        <w:jc w:val="center"/>
        <w:outlineLvl w:val="2"/>
      </w:pPr>
      <w:r>
        <w:rPr>
          <w:b/>
          <w:sz w:val="28"/>
        </w:rPr>
        <w:t>陕西鑫万泰项目管理有限公司</w:t>
      </w:r>
      <w:r>
        <w:rPr>
          <w:b/>
          <w:sz w:val="28"/>
        </w:rPr>
        <w:t>共同编制</w:t>
      </w:r>
    </w:p>
    <w:p>
      <w:pPr>
        <w:pStyle w:val="null3"/>
        <w:jc w:val="center"/>
        <w:outlineLvl w:val="2"/>
      </w:pPr>
      <w:r>
        <w:rPr>
          <w:b/>
          <w:sz w:val="28"/>
        </w:rPr>
        <w:t>2024年01月16日</w:t>
      </w:r>
    </w:p>
    <w:p>
      <w:pPr>
        <w:pStyle w:val="null3"/>
      </w:pPr>
      <w:r>
        <w:rPr/>
        <w:t xml:space="preserve"> </w:t>
      </w:r>
    </w:p>
    <w:p>
      <w:pPr>
        <w:pStyle w:val="null3"/>
        <w:jc w:val="center"/>
        <w:outlineLvl w:val="1"/>
      </w:pPr>
      <w:r>
        <w:rPr>
          <w:b/>
          <w:sz w:val="36"/>
        </w:rPr>
        <w:t>第一章 竞争性磋商邀请</w:t>
      </w:r>
    </w:p>
    <w:p>
      <w:pPr>
        <w:pStyle w:val="null3"/>
        <w:ind w:firstLine="480"/>
      </w:pPr>
      <w:r>
        <w:rPr/>
        <w:t>陕西鑫万泰项目管理有限公司</w:t>
      </w:r>
      <w:r>
        <w:rPr/>
        <w:t>（以下简称“代理机构”）受</w:t>
      </w:r>
      <w:r>
        <w:rPr/>
        <w:t>铜川市王益区市政园林工程管理所</w:t>
      </w:r>
      <w:r>
        <w:rPr/>
        <w:t>委托，拟对</w:t>
      </w:r>
      <w:r>
        <w:rPr/>
        <w:t>铜川市王益区2024年春节氛围营造工程</w:t>
      </w:r>
      <w:r>
        <w:rPr/>
        <w:t>采用竞争性磋商采购方式进行采购，兹邀请供应商参加本项目的竞争性磋商。</w:t>
      </w:r>
    </w:p>
    <w:p>
      <w:pPr>
        <w:pStyle w:val="null3"/>
        <w:outlineLvl w:val="2"/>
      </w:pPr>
      <w:r>
        <w:rPr>
          <w:b/>
          <w:sz w:val="28"/>
        </w:rPr>
        <w:t>一、采购项目编号：</w:t>
      </w:r>
      <w:r>
        <w:rPr>
          <w:b/>
          <w:sz w:val="28"/>
        </w:rPr>
        <w:t>XWT-2024XAZC138</w:t>
      </w:r>
    </w:p>
    <w:p>
      <w:pPr>
        <w:pStyle w:val="null3"/>
        <w:outlineLvl w:val="2"/>
      </w:pPr>
      <w:r>
        <w:rPr>
          <w:b/>
          <w:sz w:val="28"/>
        </w:rPr>
        <w:t>二、采购项目名称：</w:t>
      </w:r>
      <w:r>
        <w:rPr>
          <w:b/>
          <w:sz w:val="28"/>
        </w:rPr>
        <w:t>铜川市王益区2024年春节氛围营造工程</w:t>
      </w:r>
    </w:p>
    <w:p>
      <w:pPr>
        <w:pStyle w:val="null3"/>
        <w:outlineLvl w:val="2"/>
      </w:pPr>
      <w:r>
        <w:rPr>
          <w:b/>
          <w:sz w:val="28"/>
        </w:rPr>
        <w:t>三、磋商项目简介</w:t>
      </w:r>
    </w:p>
    <w:p>
      <w:pPr>
        <w:pStyle w:val="null3"/>
        <w:ind w:firstLine="480"/>
      </w:pPr>
      <w:r>
        <w:rPr/>
        <w:t>根据区政府的工作安排，2024年春节氛围营造工程计划在1958广场、政府门前广场、火车站广场、人民公园和红旗街中心地段等位置布置花灯、绿雕等景观造型，造型周围布置鲜花，营造春节氛围。</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采购包1（铜川市王益区2024年春节氛围营造工程项目）：属于专门面向中小企业采购。</w:t>
      </w:r>
    </w:p>
    <w:p>
      <w:pPr>
        <w:pStyle w:val="null3"/>
        <w:ind w:firstLine="480"/>
      </w:pPr>
      <w:r>
        <w:rPr/>
        <w:t>（三）本项目的特定资格要求：</w:t>
      </w:r>
    </w:p>
    <w:p>
      <w:pPr>
        <w:pStyle w:val="null3"/>
      </w:pPr>
      <w:r>
        <w:rPr/>
        <w:t>采购包1：</w:t>
      </w:r>
    </w:p>
    <w:p>
      <w:pPr>
        <w:pStyle w:val="null3"/>
      </w:pPr>
      <w:r>
        <w:rPr/>
        <w:t>1、营业执照：提供在中华人民共和国境内注册合法有效的营业执照；</w:t>
      </w:r>
    </w:p>
    <w:p>
      <w:pPr>
        <w:pStyle w:val="null3"/>
      </w:pPr>
      <w:r>
        <w:rPr/>
        <w:t>2、供应商资格：供应商具备建设行政主管部门核发的市政公用工程施工总承包三级及以上资质，同时具有有效的安全生产许可证。</w:t>
      </w:r>
    </w:p>
    <w:p>
      <w:pPr>
        <w:pStyle w:val="null3"/>
      </w:pPr>
      <w:r>
        <w:rPr/>
        <w:t>3、项目负责人资质：项目经理须具备市政公用工程二级及以上注册建造师资格,且未担任其他在建工程项目的项目经理。</w:t>
      </w:r>
    </w:p>
    <w:p>
      <w:pPr>
        <w:pStyle w:val="null3"/>
      </w:pPr>
      <w:r>
        <w:rPr/>
        <w:t>4、财务状况：供应商需提供2022年度财务审计报告或提供文件递交截止日前三个月从基本户银行开具的资信证明；</w:t>
      </w:r>
    </w:p>
    <w:p>
      <w:pPr>
        <w:pStyle w:val="null3"/>
      </w:pPr>
      <w:r>
        <w:rPr/>
        <w:t>5、书面声明：由供应商出具本企业参加政府采购活动前三年内经营活动中没有重大违法记录的书面声明；</w:t>
      </w:r>
    </w:p>
    <w:p>
      <w:pPr>
        <w:pStyle w:val="null3"/>
      </w:pPr>
      <w:r>
        <w:rPr/>
        <w:t>6、承诺书：本项目不接受联合体磋商（提供非联合体承诺书）。</w:t>
      </w:r>
    </w:p>
    <w:p>
      <w:pPr>
        <w:pStyle w:val="null3"/>
      </w:pPr>
      <w:r>
        <w:rPr/>
        <w:t>7、信用中国：供应商不得为“信用中国(www.creditchina.gov.cn)”中列入失信被执行人和重大税收违法案件当事人名单的供应商，不得为“中国政府采购网(www.ccgp.gov.cn”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铜川市王益区市政园林工程管理所</w:t>
      </w:r>
    </w:p>
    <w:p>
      <w:pPr>
        <w:pStyle w:val="null3"/>
      </w:pPr>
      <w:r>
        <w:rPr/>
        <w:t xml:space="preserve"> 地址： </w:t>
      </w:r>
      <w:r>
        <w:rPr/>
        <w:t>铜川市体育路33号</w:t>
      </w:r>
    </w:p>
    <w:p>
      <w:pPr>
        <w:pStyle w:val="null3"/>
      </w:pPr>
      <w:r>
        <w:rPr/>
        <w:t xml:space="preserve"> 邮编： </w:t>
      </w:r>
      <w:r>
        <w:rPr/>
        <w:t>727000</w:t>
      </w:r>
    </w:p>
    <w:p>
      <w:pPr>
        <w:pStyle w:val="null3"/>
      </w:pPr>
      <w:r>
        <w:rPr/>
        <w:t xml:space="preserve"> 联系人： </w:t>
      </w:r>
      <w:r>
        <w:rPr/>
        <w:t>铜川市王益区市政园林工程管理所经办</w:t>
      </w:r>
    </w:p>
    <w:p>
      <w:pPr>
        <w:pStyle w:val="null3"/>
      </w:pPr>
      <w:r>
        <w:rPr/>
        <w:t xml:space="preserve"> 联系电话： </w:t>
      </w:r>
      <w:r>
        <w:rPr/>
        <w:t>2385630</w:t>
      </w:r>
    </w:p>
    <w:p>
      <w:pPr>
        <w:pStyle w:val="null3"/>
        <w:outlineLvl w:val="3"/>
      </w:pPr>
      <w:r>
        <w:rPr>
          <w:b/>
          <w:sz w:val="24"/>
        </w:rPr>
        <w:t>代理机构：</w:t>
      </w:r>
      <w:r>
        <w:rPr>
          <w:b/>
          <w:sz w:val="24"/>
        </w:rPr>
        <w:t>陕西鑫万泰项目管理有限公司</w:t>
      </w:r>
    </w:p>
    <w:p>
      <w:pPr>
        <w:pStyle w:val="null3"/>
      </w:pPr>
      <w:r>
        <w:rPr/>
        <w:t xml:space="preserve"> 地址： </w:t>
      </w:r>
      <w:r>
        <w:rPr/>
        <w:t>陕西省西安市未央区陕西省西安市经济技术开发区明光路与元朔路十字明丰伯马都A座650室</w:t>
      </w:r>
    </w:p>
    <w:p>
      <w:pPr>
        <w:pStyle w:val="null3"/>
      </w:pPr>
      <w:r>
        <w:rPr/>
        <w:t xml:space="preserve"> 邮编： </w:t>
      </w:r>
      <w:r>
        <w:rPr/>
        <w:t>710016</w:t>
      </w:r>
    </w:p>
    <w:p>
      <w:pPr>
        <w:pStyle w:val="null3"/>
      </w:pPr>
      <w:r>
        <w:rPr/>
        <w:t xml:space="preserve"> 联系人： </w:t>
      </w:r>
      <w:r>
        <w:rPr/>
        <w:t>王元元</w:t>
      </w:r>
    </w:p>
    <w:p>
      <w:pPr>
        <w:pStyle w:val="null3"/>
      </w:pPr>
      <w:r>
        <w:rPr/>
        <w:t xml:space="preserve"> 联系电话： </w:t>
      </w:r>
      <w:r>
        <w:rPr/>
        <w:t>17793338034</w:t>
      </w:r>
    </w:p>
    <w:p>
      <w:pPr>
        <w:pStyle w:val="null3"/>
        <w:outlineLvl w:val="3"/>
      </w:pPr>
      <w:r>
        <w:rPr>
          <w:b/>
          <w:sz w:val="24"/>
        </w:rPr>
        <w:t>采购监督机构：</w:t>
      </w:r>
      <w:r>
        <w:rPr>
          <w:b/>
          <w:sz w:val="24"/>
        </w:rPr>
        <w:t>铜川市王益区财政局</w:t>
      </w:r>
    </w:p>
    <w:p>
      <w:pPr>
        <w:pStyle w:val="null3"/>
        <w:ind w:firstLine="480"/>
      </w:pPr>
      <w:r>
        <w:rPr/>
        <w:t>联系人：</w:t>
      </w:r>
      <w:r>
        <w:rPr/>
        <w:t>段鹏</w:t>
      </w:r>
    </w:p>
    <w:p>
      <w:pPr>
        <w:pStyle w:val="null3"/>
        <w:ind w:firstLine="480"/>
      </w:pPr>
      <w:r>
        <w:rPr/>
        <w:t>联系电话：</w:t>
      </w:r>
      <w:r>
        <w:rPr/>
        <w:t>0919-2582209</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采购包1：768,270.59元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代理服务费收费标准：按国家计委颁发的《招标代理服务收费管理暂行办法》（计价格【2002】1980号）及《国家发改委关于降低部分建设项目收费标准规范收费行为等有关问题的通知》（发改价格[2011]534号） 规定按标准收取</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铜川市王益区市政园林工程管理所</w:t>
      </w:r>
      <w:r>
        <w:rPr/>
        <w:t>和</w:t>
      </w:r>
      <w:r>
        <w:rPr/>
        <w:t>陕西鑫万泰项目管理有限公司</w:t>
      </w:r>
      <w:r>
        <w:rPr/>
        <w:t>享有。对磋商文件中供应商参加本次政府采购活动应当具备的条件，磋商项目技术、服务、商务及其他要求，评审细则及标准由</w:t>
      </w:r>
      <w:r>
        <w:rPr/>
        <w:t>铜川市王益区市政园林工程管理所</w:t>
      </w:r>
      <w:r>
        <w:rPr/>
        <w:t>负责解释。除上述磋商文件内容，其他内容由</w:t>
      </w:r>
      <w:r>
        <w:rPr/>
        <w:t>陕西鑫万泰项目管理有限公司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铜川市王益区市政园林工程管理所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陕西鑫万泰项目管理有限公司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2.6.7履约验收方案</w:t>
      </w:r>
    </w:p>
    <w:p>
      <w:pPr>
        <w:pStyle w:val="null3"/>
      </w:pPr>
      <w:r>
        <w:rPr/>
        <w:t>采购包1：</w:t>
      </w:r>
    </w:p>
    <w:p>
      <w:pPr>
        <w:pStyle w:val="null3"/>
      </w:pPr>
      <w:r>
        <w:rPr/>
        <w:t>满足甲方指定范围</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b/>
          <w:sz w:val="24"/>
        </w:rPr>
        <w:t>2.6.8资金支付</w:t>
      </w:r>
    </w:p>
    <w:p>
      <w:pPr>
        <w:pStyle w:val="null3"/>
        <w:ind w:firstLine="480"/>
      </w:pPr>
      <w:r>
        <w:rPr/>
        <w:t>采购人将按照政府采购合同规定，及时向成交供应商支付采购资金。</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陕西鑫万泰项目管理有限公司</w:t>
      </w:r>
      <w:r>
        <w:rPr/>
        <w:t xml:space="preserve"> 负责答复；供应商对采购过程的询问、质疑由</w:t>
      </w:r>
      <w:r>
        <w:rPr/>
        <w:t>陕西鑫万泰项目管理有限公司</w:t>
      </w:r>
      <w:r>
        <w:rPr/>
        <w:t xml:space="preserve"> 负责答复；供应商对采购结果的询问、质疑由 </w:t>
      </w:r>
      <w:r>
        <w:rPr/>
        <w:t>陕西鑫万泰项目管理有限公司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联系人：王元元</w:t>
      </w:r>
    </w:p>
    <w:p>
      <w:pPr>
        <w:pStyle w:val="null3"/>
      </w:pPr>
      <w:r>
        <w:rPr/>
        <w:t>联系电话：17793338034</w:t>
      </w:r>
    </w:p>
    <w:p>
      <w:pPr>
        <w:pStyle w:val="null3"/>
      </w:pPr>
      <w:r>
        <w:rPr/>
        <w:t>地址：陕西省西安市经济技术开发区明光路与元朔路十字明丰伯马都A座650室</w:t>
      </w:r>
    </w:p>
    <w:p>
      <w:pPr>
        <w:pStyle w:val="null3"/>
      </w:pPr>
      <w:r>
        <w:rPr/>
        <w:t>邮编：710016</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3.1技术、服务标准和要求</w:t>
      </w:r>
    </w:p>
    <w:p>
      <w:pPr>
        <w:pStyle w:val="null3"/>
      </w:pPr>
      <w:r>
        <w:rPr/>
        <w:t>采购包1：</w:t>
      </w:r>
    </w:p>
    <w:p>
      <w:pPr>
        <w:pStyle w:val="null3"/>
      </w:pPr>
      <w:r>
        <w:rPr/>
        <w:t>采购包预算金额（元）: 768,270.59</w:t>
      </w:r>
    </w:p>
    <w:p>
      <w:pPr>
        <w:pStyle w:val="null3"/>
      </w:pPr>
      <w:r>
        <w:rPr/>
        <w:t>采购包最高限价（元）: 768,270.59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768270.59</w:t>
            </w:r>
          </w:p>
        </w:tc>
        <w:tc>
          <w:tcPr>
            <w:tcW w:type="dxa" w:w="1384"/>
          </w:tcPr>
          <w:p>
            <w:pPr>
              <w:pStyle w:val="null3"/>
              <w:jc w:val="right"/>
            </w:pPr>
            <w:r>
              <w:rPr/>
              <w:t>1.00</w:t>
            </w:r>
          </w:p>
        </w:tc>
        <w:tc>
          <w:tcPr>
            <w:tcW w:type="dxa" w:w="1384"/>
          </w:tcPr>
          <w:p>
            <w:pPr>
              <w:pStyle w:val="null3"/>
              <w:jc w:val="right"/>
            </w:pPr>
            <w:r>
              <w:rPr/>
              <w:t>768,270.59</w:t>
            </w:r>
          </w:p>
        </w:tc>
        <w:tc>
          <w:tcPr>
            <w:tcW w:type="dxa" w:w="1384"/>
          </w:tcPr>
          <w:p>
            <w:pPr>
              <w:pStyle w:val="null3"/>
            </w:pPr>
            <w:r>
              <w:rPr/>
              <w:t>项</w:t>
            </w:r>
          </w:p>
        </w:tc>
        <w:tc>
          <w:tcPr>
            <w:tcW w:type="dxa" w:w="1384"/>
          </w:tcPr>
          <w:p>
            <w:pPr>
              <w:pStyle w:val="null3"/>
            </w:pPr>
            <w:r>
              <w:rPr/>
              <w:t>其他未列明行业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标的名称：768270.59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t>/</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达到国家行业验收标准</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b/>
          <w:sz w:val="28"/>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采购包1：</w:t>
            </w:r>
          </w:p>
          <w:p>
            <w:pPr>
              <w:pStyle w:val="null3"/>
            </w:pPr>
            <w:r>
              <w:rPr/>
              <w:t>职称：二级注册建造师</w:t>
            </w:r>
          </w:p>
          <w:p>
            <w:pPr>
              <w:pStyle w:val="null3"/>
            </w:pPr>
            <w:r>
              <w:rPr/>
              <w:t>专业：市政公用工程</w:t>
            </w:r>
          </w:p>
          <w:p>
            <w:pPr>
              <w:pStyle w:val="null3"/>
            </w:pPr>
            <w:r>
              <w:rPr/>
              <w:t>补充说明：无</w:t>
            </w:r>
          </w:p>
        </w:tc>
      </w:tr>
    </w:tbl>
    <w:p>
      <w:pPr>
        <w:pStyle w:val="null3"/>
        <w:outlineLvl w:val="3"/>
      </w:pPr>
      <w:r>
        <w:rPr>
          <w:b/>
          <w:sz w:val="24"/>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b/>
          <w:sz w:val="28"/>
        </w:rPr>
        <w:t>3.3其他要求</w:t>
      </w:r>
    </w:p>
    <w:p>
      <w:pPr>
        <w:pStyle w:val="null3"/>
      </w:pPr>
      <w:r>
        <w:rPr/>
        <w:t>/</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供应商需提供2022年度财务审计报告或提供文件递交截止日前三个月从基本户银行开具的资信证明</w:t>
            </w:r>
          </w:p>
        </w:tc>
        <w:tc>
          <w:tcPr>
            <w:tcW w:type="dxa" w:w="1661"/>
          </w:tcPr>
          <w:p>
            <w:pPr>
              <w:pStyle w:val="null3"/>
            </w:pPr>
            <w:r>
              <w:rPr/>
              <w:t>供应商业绩 监狱企业的证明文件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拟派项目负责人资质和专业要求。</w:t>
            </w:r>
          </w:p>
        </w:tc>
        <w:tc>
          <w:tcPr>
            <w:tcW w:type="dxa" w:w="3322"/>
          </w:tcPr>
          <w:p>
            <w:pPr>
              <w:pStyle w:val="null3"/>
            </w:pPr>
            <w:r>
              <w:rPr/>
              <w:t>具备市政公用工程专业二级注册建造师或以上建造师执业资格。</w:t>
            </w:r>
          </w:p>
        </w:tc>
        <w:tc>
          <w:tcPr>
            <w:tcW w:type="dxa" w:w="1661"/>
          </w:tcPr>
          <w:p>
            <w:pPr>
              <w:pStyle w:val="null3"/>
            </w:pPr>
            <w:r>
              <w:rPr/>
              <w:t>项目管理机构组成表</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提供在中华人民共和国境内注册合法有效的营业执照；</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供应商资格</w:t>
            </w:r>
          </w:p>
        </w:tc>
        <w:tc>
          <w:tcPr>
            <w:tcW w:type="dxa" w:w="3322"/>
          </w:tcPr>
          <w:p>
            <w:pPr>
              <w:pStyle w:val="null3"/>
            </w:pPr>
            <w:r>
              <w:rPr/>
              <w:t>供应商具备建设行政主管部门核发的市政公用工程施工总承包三级及以上资质，同时具有有效的安全生产许可证。</w:t>
            </w:r>
          </w:p>
        </w:tc>
        <w:tc>
          <w:tcPr>
            <w:tcW w:type="dxa" w:w="1661"/>
          </w:tcPr>
          <w:p>
            <w:pPr>
              <w:pStyle w:val="null3"/>
            </w:pPr>
            <w:r>
              <w:rPr/>
              <w:t>资格证明文件 响应函</w:t>
            </w:r>
          </w:p>
        </w:tc>
      </w:tr>
      <w:tr>
        <w:tc>
          <w:tcPr>
            <w:tcW w:type="dxa" w:w="831"/>
          </w:tcPr>
          <w:p>
            <w:pPr>
              <w:pStyle w:val="null3"/>
            </w:pPr>
            <w:r>
              <w:rPr/>
              <w:t>3</w:t>
            </w:r>
          </w:p>
        </w:tc>
        <w:tc>
          <w:tcPr>
            <w:tcW w:type="dxa" w:w="2492"/>
          </w:tcPr>
          <w:p>
            <w:pPr>
              <w:pStyle w:val="null3"/>
            </w:pPr>
            <w:r>
              <w:rPr/>
              <w:t>项目负责人资质</w:t>
            </w:r>
          </w:p>
        </w:tc>
        <w:tc>
          <w:tcPr>
            <w:tcW w:type="dxa" w:w="3322"/>
          </w:tcPr>
          <w:p>
            <w:pPr>
              <w:pStyle w:val="null3"/>
            </w:pPr>
            <w:r>
              <w:rPr/>
              <w:t>项目经理须具备市政公用工程二级及以上注册建造师资格,且未担任其他在建工程项目的项目经理。</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财务状况</w:t>
            </w:r>
          </w:p>
        </w:tc>
        <w:tc>
          <w:tcPr>
            <w:tcW w:type="dxa" w:w="3322"/>
          </w:tcPr>
          <w:p>
            <w:pPr>
              <w:pStyle w:val="null3"/>
            </w:pPr>
            <w:r>
              <w:rPr/>
              <w:t>供应商需提供2022年度财务审计报告或提供文件递交截止日前三个月从基本户银行开具的资信证明；</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由供应商出具本企业参加政府采购活动前三年内经营活动中没有重大违法记录的书面声明；</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承诺书</w:t>
            </w:r>
          </w:p>
        </w:tc>
        <w:tc>
          <w:tcPr>
            <w:tcW w:type="dxa" w:w="3322"/>
          </w:tcPr>
          <w:p>
            <w:pPr>
              <w:pStyle w:val="null3"/>
            </w:pPr>
            <w:r>
              <w:rPr/>
              <w:t>本项目不接受联合体磋商（提供非联合体承诺书）。</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信用中国</w:t>
            </w:r>
          </w:p>
        </w:tc>
        <w:tc>
          <w:tcPr>
            <w:tcW w:type="dxa" w:w="3322"/>
          </w:tcPr>
          <w:p>
            <w:pPr>
              <w:pStyle w:val="null3"/>
            </w:pPr>
            <w:r>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w:t>
            </w:r>
          </w:p>
        </w:tc>
        <w:tc>
          <w:tcPr>
            <w:tcW w:type="dxa" w:w="1661"/>
          </w:tcPr>
          <w:p>
            <w:pPr>
              <w:pStyle w:val="null3"/>
            </w:pPr>
            <w:r>
              <w:rPr/>
              <w:t>响应函</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签字盖章</w:t>
            </w:r>
          </w:p>
        </w:tc>
        <w:tc>
          <w:tcPr>
            <w:tcW w:type="dxa" w:w="3322"/>
          </w:tcPr>
          <w:p>
            <w:pPr>
              <w:pStyle w:val="null3"/>
            </w:pPr>
            <w:r>
              <w:rPr/>
              <w:t>磋商响应文件上法定代表人或其授权代表人的签字齐全并加盖公章</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供应商名称</w:t>
            </w:r>
          </w:p>
        </w:tc>
        <w:tc>
          <w:tcPr>
            <w:tcW w:type="dxa" w:w="3322"/>
          </w:tcPr>
          <w:p>
            <w:pPr>
              <w:pStyle w:val="null3"/>
            </w:pPr>
            <w:r>
              <w:rPr/>
              <w:t>供应商名称和资质证书、公章等一致</w:t>
            </w:r>
          </w:p>
        </w:tc>
        <w:tc>
          <w:tcPr>
            <w:tcW w:type="dxa" w:w="1661"/>
          </w:tcPr>
          <w:p>
            <w:pPr>
              <w:pStyle w:val="null3"/>
            </w:pPr>
            <w:r>
              <w:rPr/>
              <w:t>响应文件封面</w:t>
            </w:r>
          </w:p>
        </w:tc>
      </w:tr>
      <w:tr>
        <w:tc>
          <w:tcPr>
            <w:tcW w:type="dxa" w:w="831"/>
          </w:tcPr>
          <w:p>
            <w:pPr>
              <w:pStyle w:val="null3"/>
            </w:pPr>
            <w:r>
              <w:rPr/>
              <w:t>4</w:t>
            </w:r>
          </w:p>
        </w:tc>
        <w:tc>
          <w:tcPr>
            <w:tcW w:type="dxa" w:w="2492"/>
          </w:tcPr>
          <w:p>
            <w:pPr>
              <w:pStyle w:val="null3"/>
            </w:pPr>
            <w:r>
              <w:rPr/>
              <w:t>报价的有效性</w:t>
            </w:r>
          </w:p>
        </w:tc>
        <w:tc>
          <w:tcPr>
            <w:tcW w:type="dxa" w:w="3322"/>
          </w:tcPr>
          <w:p>
            <w:pPr>
              <w:pStyle w:val="null3"/>
            </w:pPr>
            <w:r>
              <w:rPr/>
              <w:t>一次报价未超过采购预算；二次报价未超过一次报价；无选择性报价</w:t>
            </w:r>
          </w:p>
        </w:tc>
        <w:tc>
          <w:tcPr>
            <w:tcW w:type="dxa" w:w="1661"/>
          </w:tcPr>
          <w:p>
            <w:pPr>
              <w:pStyle w:val="null3"/>
            </w:pPr>
            <w:r>
              <w:rPr/>
              <w:t>报价函</w:t>
            </w:r>
          </w:p>
        </w:tc>
      </w:tr>
      <w:tr>
        <w:tc>
          <w:tcPr>
            <w:tcW w:type="dxa" w:w="831"/>
          </w:tcPr>
          <w:p>
            <w:pPr>
              <w:pStyle w:val="null3"/>
            </w:pPr>
            <w:r>
              <w:rPr/>
              <w:t>5</w:t>
            </w:r>
          </w:p>
        </w:tc>
        <w:tc>
          <w:tcPr>
            <w:tcW w:type="dxa" w:w="2492"/>
          </w:tcPr>
          <w:p>
            <w:pPr>
              <w:pStyle w:val="null3"/>
            </w:pPr>
            <w:r>
              <w:rPr/>
              <w:t>磋商有效期</w:t>
            </w:r>
          </w:p>
        </w:tc>
        <w:tc>
          <w:tcPr>
            <w:tcW w:type="dxa" w:w="3322"/>
          </w:tcPr>
          <w:p>
            <w:pPr>
              <w:pStyle w:val="null3"/>
            </w:pPr>
            <w:r>
              <w:rPr/>
              <w:t>自响应文件递交截止之日起不少于90个日历日</w:t>
            </w:r>
          </w:p>
        </w:tc>
        <w:tc>
          <w:tcPr>
            <w:tcW w:type="dxa" w:w="1661"/>
          </w:tcPr>
          <w:p>
            <w:pPr>
              <w:pStyle w:val="null3"/>
            </w:pPr>
            <w:r>
              <w:rPr/>
              <w:t>响应文件封面</w:t>
            </w:r>
          </w:p>
        </w:tc>
      </w:tr>
    </w:tbl>
    <w:p>
      <w:pPr>
        <w:pStyle w:val="null3"/>
        <w:outlineLvl w:val="3"/>
      </w:pPr>
      <w:r>
        <w:rPr>
          <w:b/>
          <w:sz w:val="24"/>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b/>
          <w:sz w:val="24"/>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b/>
          <w:sz w:val="24"/>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b/>
          <w:sz w:val="24"/>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b/>
          <w:sz w:val="24"/>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b/>
          <w:sz w:val="28"/>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工艺</w:t>
            </w:r>
          </w:p>
        </w:tc>
        <w:tc>
          <w:tcPr>
            <w:tcW w:type="dxa" w:w="2492"/>
          </w:tcPr>
          <w:p>
            <w:pPr>
              <w:pStyle w:val="null3"/>
            </w:pPr>
            <w:r>
              <w:rPr/>
              <w:t>1、产品选型合理，制作工艺先进，性价比高，产品配置齐全，数量准确、规格描述详细，附有详细的产品技术资料，根据响应程度计1-10分。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质量检测保障</w:t>
            </w:r>
          </w:p>
        </w:tc>
        <w:tc>
          <w:tcPr>
            <w:tcW w:type="dxa" w:w="2492"/>
          </w:tcPr>
          <w:p>
            <w:pPr>
              <w:pStyle w:val="null3"/>
            </w:pPr>
            <w:r>
              <w:rPr/>
              <w:t>2、供应商有完善的产品质量检测保障体系，具有较好的使用效果，并符合国内相关标准。按其响应程度计1～10分，未提供不计分。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工作进度计划</w:t>
            </w:r>
          </w:p>
        </w:tc>
        <w:tc>
          <w:tcPr>
            <w:tcW w:type="dxa" w:w="2492"/>
          </w:tcPr>
          <w:p>
            <w:pPr>
              <w:pStyle w:val="null3"/>
            </w:pPr>
            <w:r>
              <w:rPr/>
              <w:t>3、工作进度计划及保障措施：工作进度计划合理、有可操作性 的赋7-10分；一般计4-6分；较差的计1-3分，缺项不得分)。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故障突发事件处理方案</w:t>
            </w:r>
          </w:p>
        </w:tc>
        <w:tc>
          <w:tcPr>
            <w:tcW w:type="dxa" w:w="2492"/>
          </w:tcPr>
          <w:p>
            <w:pPr>
              <w:pStyle w:val="null3"/>
            </w:pPr>
            <w:r>
              <w:rPr/>
              <w:t>4、供应商针对本项目提供故障突发事件的处理方案以及故障响应的时效性保证措施；根据方案优劣计1-10，未提供不计分。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设计方案及效果图</w:t>
            </w:r>
          </w:p>
        </w:tc>
        <w:tc>
          <w:tcPr>
            <w:tcW w:type="dxa" w:w="2492"/>
          </w:tcPr>
          <w:p>
            <w:pPr>
              <w:pStyle w:val="null3"/>
            </w:pPr>
            <w:r>
              <w:rPr/>
              <w:t>6、设计方案及效果图：设计方案详细、科学，效果图内容完善、创意新颖、思路清晰，审美性、艺术性、整体性强，能够充分满足采购需求根据其响应程度计1-8分。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后期服务</w:t>
            </w:r>
          </w:p>
        </w:tc>
        <w:tc>
          <w:tcPr>
            <w:tcW w:type="dxa" w:w="2492"/>
          </w:tcPr>
          <w:p>
            <w:pPr>
              <w:pStyle w:val="null3"/>
            </w:pPr>
            <w:r>
              <w:rPr/>
              <w:t>项目承诺及后期服务：针对本项目的相关承诺和后期服务，由磋商小组综合评审自主打分（1-10分）。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业绩</w:t>
            </w:r>
          </w:p>
        </w:tc>
        <w:tc>
          <w:tcPr>
            <w:tcW w:type="dxa" w:w="2492"/>
          </w:tcPr>
          <w:p>
            <w:pPr>
              <w:pStyle w:val="null3"/>
            </w:pPr>
            <w:r>
              <w:rPr/>
              <w:t>2020年1月1日至今（以合同签订时间为准）供应商承担过类似项目业绩，每个项目得1分，最高2分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供应商业绩</w:t>
            </w:r>
          </w:p>
        </w:tc>
      </w:tr>
      <w:tr>
        <w:tc>
          <w:tcPr>
            <w:tcW w:type="dxa" w:w="831"/>
            <w:vMerge/>
          </w:tcPr>
          <w:p/>
        </w:tc>
        <w:tc>
          <w:tcPr>
            <w:tcW w:type="dxa" w:w="1661"/>
          </w:tcPr>
          <w:p>
            <w:pPr>
              <w:pStyle w:val="null3"/>
            </w:pPr>
            <w:r>
              <w:rPr/>
              <w:t>设备配备</w:t>
            </w:r>
          </w:p>
        </w:tc>
        <w:tc>
          <w:tcPr>
            <w:tcW w:type="dxa" w:w="2492"/>
          </w:tcPr>
          <w:p>
            <w:pPr>
              <w:pStyle w:val="null3"/>
            </w:pPr>
            <w:r>
              <w:rPr/>
              <w:t>针对本项目有详细的实施方案，设备配备合理，有具体可行的技术手段和管理措施，能确保安装文明施工，根据其响应程度计1-10分。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磋商报价得分＝（评标基准价/磋商报价）×价格分值</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详见附件：标的清单</w:t>
      </w:r>
    </w:p>
    <w:p>
      <w:pPr>
        <w:pStyle w:val="null3"/>
        <w:ind w:firstLine="960"/>
      </w:pPr>
      <w:r>
        <w:rPr/>
        <w:t>详见附件：技术方案</w:t>
      </w:r>
    </w:p>
    <w:p>
      <w:pPr>
        <w:pStyle w:val="null3"/>
        <w:ind w:firstLine="960"/>
      </w:pPr>
      <w:r>
        <w:rPr/>
        <w:t>详见附件：供应商业绩</w:t>
      </w:r>
    </w:p>
    <w:p>
      <w:pPr>
        <w:pStyle w:val="null3"/>
        <w:ind w:firstLine="960"/>
      </w:pPr>
      <w:r>
        <w:rPr/>
        <w:t>详见附件：资格证明文件</w:t>
      </w:r>
    </w:p>
    <w:p>
      <w:pPr>
        <w:pStyle w:val="null3"/>
        <w:ind w:firstLine="960"/>
      </w:pPr>
      <w:r>
        <w:rPr/>
        <w:t>详见附件：项目管理机构组成表</w:t>
      </w:r>
    </w:p>
    <w:p>
      <w:pPr>
        <w:pStyle w:val="null3"/>
      </w:pPr>
      <w:r>
        <w:rPr/>
        <w:t xml:space="preserve"> </w:t>
      </w:r>
    </w:p>
    <w:p>
      <w:pPr>
        <w:pStyle w:val="null3"/>
        <w:jc w:val="center"/>
        <w:outlineLvl w:val="1"/>
      </w:pPr>
      <w:r>
        <w:rPr>
          <w:b/>
          <w:sz w:val="36"/>
        </w:rPr>
        <w:t>第八章 拟签订采购合同文本</w:t>
      </w:r>
    </w:p>
    <w:p>
      <w:pPr>
        <w:pStyle w:val="null3"/>
      </w:pPr>
      <w:r>
        <w:rPr/>
        <w:t>详见附件：合同.docx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