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（工程类）</w:t>
      </w:r>
      <w:r>
        <w:br/>
      </w:r>
      <w:r>
        <w:br/>
      </w:r>
      <w:r>
        <w:br/>
      </w:r>
      <w:r>
        <w:br/>
      </w:r>
      <w:r>
        <w:br/>
      </w:r>
      <w:r>
        <w:br/>
      </w:r>
      <w:r>
        <w:br/>
      </w:r>
      <w:r>
        <w:br/>
      </w:r>
      <w:r>
        <w:br/>
      </w:r>
      <w:r>
        <w:br/>
      </w:r>
      <w:r>
        <w:br/>
      </w:r>
    </w:p>
    <w:p>
      <w:pPr>
        <w:pStyle w:val="null3"/>
        <w:jc w:val="center"/>
        <w:outlineLvl w:val="2"/>
      </w:pPr>
      <w:r>
        <w:rPr>
          <w:b/>
          <w:sz w:val="28"/>
        </w:rPr>
        <w:t>采购项目名称：</w:t>
      </w:r>
      <w:r>
        <w:rPr>
          <w:b/>
          <w:sz w:val="28"/>
        </w:rPr>
        <w:t>铜川市王益区2024年城市绿地、城市排水设施维修养护工程</w:t>
      </w:r>
    </w:p>
    <w:p>
      <w:pPr>
        <w:pStyle w:val="null3"/>
        <w:jc w:val="center"/>
        <w:outlineLvl w:val="2"/>
      </w:pPr>
      <w:r>
        <w:rPr>
          <w:b/>
          <w:sz w:val="28"/>
        </w:rPr>
        <w:t>采购项目编号：</w:t>
      </w:r>
      <w:r>
        <w:rPr>
          <w:b/>
          <w:sz w:val="28"/>
        </w:rPr>
        <w:t>ZHXYZB-2024001</w:t>
      </w:r>
      <w:r>
        <w:br/>
      </w:r>
      <w:r>
        <w:br/>
      </w:r>
      <w:r>
        <w:br/>
      </w:r>
    </w:p>
    <w:p>
      <w:pPr>
        <w:pStyle w:val="null3"/>
        <w:jc w:val="center"/>
        <w:outlineLvl w:val="2"/>
      </w:pPr>
      <w:r>
        <w:rPr>
          <w:b/>
          <w:sz w:val="28"/>
        </w:rPr>
        <w:t>铜川市王益区市政园林工程管理所</w:t>
      </w:r>
    </w:p>
    <w:p>
      <w:pPr>
        <w:pStyle w:val="null3"/>
        <w:jc w:val="center"/>
        <w:outlineLvl w:val="2"/>
      </w:pPr>
      <w:r>
        <w:rPr>
          <w:b/>
          <w:sz w:val="28"/>
        </w:rPr>
        <w:t>陕西智华兴业建设项目管理有限公司</w:t>
      </w:r>
      <w:r>
        <w:rPr>
          <w:b/>
          <w:sz w:val="28"/>
        </w:rPr>
        <w:t>共同编制</w:t>
      </w:r>
    </w:p>
    <w:p>
      <w:pPr>
        <w:pStyle w:val="null3"/>
        <w:jc w:val="center"/>
        <w:outlineLvl w:val="2"/>
      </w:pPr>
      <w:r>
        <w:rPr>
          <w:b/>
          <w:sz w:val="28"/>
        </w:rPr>
        <w:t>2024年03月17日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陕西智华兴业建设项目管理有限公司</w:t>
      </w:r>
      <w:r>
        <w:rPr/>
        <w:t>（以下简称“代理机构”）受</w:t>
      </w:r>
      <w:r>
        <w:rPr/>
        <w:t>铜川市王益区市政园林工程管理所</w:t>
      </w:r>
      <w:r>
        <w:rPr/>
        <w:t>委托，拟对</w:t>
      </w:r>
      <w:r>
        <w:rPr/>
        <w:t>铜川市王益区2024年城市绿地、城市排水设施维修养护工程</w:t>
      </w:r>
      <w:r>
        <w:rPr/>
        <w:t>采用竞争性磋商采购方式进行采购，兹邀请供应商参加本项目的竞争性磋商。</w:t>
      </w:r>
    </w:p>
    <w:p>
      <w:pPr>
        <w:pStyle w:val="null3"/>
        <w:outlineLvl w:val="2"/>
      </w:pPr>
      <w:r>
        <w:rPr>
          <w:b/>
          <w:sz w:val="28"/>
        </w:rPr>
        <w:t>一、采购项目编号：</w:t>
      </w:r>
      <w:r>
        <w:rPr>
          <w:b/>
          <w:sz w:val="28"/>
        </w:rPr>
        <w:t>ZHXYZB-2024001</w:t>
      </w:r>
    </w:p>
    <w:p>
      <w:pPr>
        <w:pStyle w:val="null3"/>
        <w:outlineLvl w:val="2"/>
      </w:pPr>
      <w:r>
        <w:rPr>
          <w:b/>
          <w:sz w:val="28"/>
        </w:rPr>
        <w:t>二、采购项目名称：</w:t>
      </w:r>
      <w:r>
        <w:rPr>
          <w:b/>
          <w:sz w:val="28"/>
        </w:rPr>
        <w:t>铜川市王益区2024年城市绿地、城市排水设施维修养护工程</w:t>
      </w:r>
    </w:p>
    <w:p>
      <w:pPr>
        <w:pStyle w:val="null3"/>
        <w:outlineLvl w:val="2"/>
      </w:pPr>
      <w:r>
        <w:rPr>
          <w:b/>
          <w:sz w:val="28"/>
        </w:rPr>
        <w:t>三、磋商项目简介</w:t>
      </w:r>
    </w:p>
    <w:p>
      <w:pPr>
        <w:pStyle w:val="null3"/>
        <w:ind w:firstLine="480"/>
      </w:pPr>
      <w:r>
        <w:rPr/>
        <w:t>铜川市王益区2024年城市绿地、城市排水设施维修养护工程1项，主要内容包含广场、花坛、绿篱、行道树、城外林地日常维护养护；市政排水设施疏通、维修。</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采购包1（铜川市王益区2024年城市绿地、城市排水设施维修养护工程）：属于专门面向小微企业采购。</w:t>
      </w:r>
    </w:p>
    <w:p>
      <w:pPr>
        <w:pStyle w:val="null3"/>
        <w:ind w:firstLine="480"/>
      </w:pPr>
      <w:r>
        <w:rPr/>
        <w:t>（三）本项目的特定资格要求：</w:t>
      </w:r>
    </w:p>
    <w:p>
      <w:pPr>
        <w:pStyle w:val="null3"/>
      </w:pPr>
      <w:r>
        <w:rPr/>
        <w:t>采购包1：</w:t>
      </w:r>
    </w:p>
    <w:p>
      <w:pPr>
        <w:pStyle w:val="null3"/>
      </w:pPr>
      <w:r>
        <w:rPr/>
        <w:t>1、营业执照等主体资格证明文件：具有独立承担民事责任的能力，提供法人或者其他组织的营业执照等证明文件，自然人参与的提供其身份证明；</w:t>
      </w:r>
    </w:p>
    <w:p>
      <w:pPr>
        <w:pStyle w:val="null3"/>
      </w:pPr>
      <w:r>
        <w:rPr/>
        <w:t>2、财务状况报告：提供2022或2023任一年度经审计的财务审计报告(2024年成立的公司提供成立后企业的资产负债表和利润表），或提供近一年内基本存款账户开户银行开具的资信证明；</w:t>
      </w:r>
    </w:p>
    <w:p>
      <w:pPr>
        <w:pStyle w:val="null3"/>
      </w:pPr>
      <w:r>
        <w:rPr/>
        <w:t>3、税收缴纳证明：提供2023年03月01日至今任意一个月的缴纳税收的证明材料,(依法免税的单位应提供相关证明材料)；</w:t>
      </w:r>
    </w:p>
    <w:p>
      <w:pPr>
        <w:pStyle w:val="null3"/>
      </w:pPr>
      <w:r>
        <w:rPr/>
        <w:t>4、社会保障资金缴纳证明：提供2023年03月01日至今任意一个月的依法缴纳社会保障资金的证明材料（依法不需要缴纳社会保障资金的单位应提供相关证明材料）；</w:t>
      </w:r>
    </w:p>
    <w:p>
      <w:pPr>
        <w:pStyle w:val="null3"/>
      </w:pPr>
      <w:r>
        <w:rPr/>
        <w:t>5、信用查询：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t>6、履约能力：出具具备履行合同所必需的设备和专业技术能力的书面声明；</w:t>
      </w:r>
    </w:p>
    <w:p>
      <w:pPr>
        <w:pStyle w:val="null3"/>
      </w:pPr>
      <w:r>
        <w:rPr/>
        <w:t>7、无重大违法记录：参加政府采购活动前3年内，在经营活动中没有重大违法记录（提供书面声明函）；</w:t>
      </w:r>
    </w:p>
    <w:p>
      <w:pPr>
        <w:pStyle w:val="null3"/>
      </w:pPr>
      <w:r>
        <w:rPr/>
        <w:t>8、企业关联关系：单位负责人为同一人或者存在直接控股、管理关系的不同供应商不得同时参加本项目磋商；</w:t>
      </w:r>
    </w:p>
    <w:p>
      <w:pPr>
        <w:pStyle w:val="null3"/>
      </w:pPr>
      <w:r>
        <w:rPr/>
        <w:t>9、法定代表人身份证明或法定代表人授权委托书：法定代表人授权书（附法定代表人及被授权人身份证复印件）（如法定代表人直接投标只须提交法人身份证明并附身份证复印件）</w:t>
      </w:r>
    </w:p>
    <w:p>
      <w:pPr>
        <w:pStyle w:val="null3"/>
      </w:pPr>
      <w:r>
        <w:rPr/>
        <w:t>10、拟派项目负责人资质和专业要求：各投标供应商应设置专门的项目负责人</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铜川市王益区市政园林工程管理所</w:t>
      </w:r>
    </w:p>
    <w:p>
      <w:pPr>
        <w:pStyle w:val="null3"/>
      </w:pPr>
      <w:r>
        <w:rPr/>
        <w:t xml:space="preserve"> 地址： </w:t>
      </w:r>
      <w:r>
        <w:rPr/>
        <w:t>铜川市体育路33号</w:t>
      </w:r>
    </w:p>
    <w:p>
      <w:pPr>
        <w:pStyle w:val="null3"/>
      </w:pPr>
      <w:r>
        <w:rPr/>
        <w:t xml:space="preserve"> 邮编： </w:t>
      </w:r>
      <w:r>
        <w:rPr/>
        <w:t>727000</w:t>
      </w:r>
    </w:p>
    <w:p>
      <w:pPr>
        <w:pStyle w:val="null3"/>
      </w:pPr>
      <w:r>
        <w:rPr/>
        <w:t xml:space="preserve"> 联系人： </w:t>
      </w:r>
      <w:r>
        <w:rPr/>
        <w:t>王工</w:t>
      </w:r>
    </w:p>
    <w:p>
      <w:pPr>
        <w:pStyle w:val="null3"/>
      </w:pPr>
      <w:r>
        <w:rPr/>
        <w:t xml:space="preserve"> 联系电话： </w:t>
      </w:r>
      <w:r>
        <w:rPr/>
        <w:t>0919-2639682</w:t>
      </w:r>
    </w:p>
    <w:p>
      <w:pPr>
        <w:pStyle w:val="null3"/>
        <w:outlineLvl w:val="3"/>
      </w:pPr>
      <w:r>
        <w:rPr>
          <w:b/>
          <w:sz w:val="24"/>
        </w:rPr>
        <w:t>代理机构：</w:t>
      </w:r>
      <w:r>
        <w:rPr>
          <w:b/>
          <w:sz w:val="24"/>
        </w:rPr>
        <w:t>陕西智华兴业建设项目管理有限公司</w:t>
      </w:r>
    </w:p>
    <w:p>
      <w:pPr>
        <w:pStyle w:val="null3"/>
      </w:pPr>
      <w:r>
        <w:rPr/>
        <w:t xml:space="preserve"> 地址： </w:t>
      </w:r>
      <w:r>
        <w:rPr/>
        <w:t>陕西省西安市雁塔区朱雀大街南段6号紫郡长安小区4栋1单元15层3号</w:t>
      </w:r>
    </w:p>
    <w:p>
      <w:pPr>
        <w:pStyle w:val="null3"/>
      </w:pPr>
      <w:r>
        <w:rPr/>
        <w:t xml:space="preserve"> 邮编： </w:t>
      </w:r>
      <w:r>
        <w:rPr/>
        <w:t>710061</w:t>
      </w:r>
    </w:p>
    <w:p>
      <w:pPr>
        <w:pStyle w:val="null3"/>
      </w:pPr>
      <w:r>
        <w:rPr/>
        <w:t xml:space="preserve"> 联系人： </w:t>
      </w:r>
      <w:r>
        <w:rPr/>
        <w:t>朱工</w:t>
      </w:r>
    </w:p>
    <w:p>
      <w:pPr>
        <w:pStyle w:val="null3"/>
      </w:pPr>
      <w:r>
        <w:rPr/>
        <w:t xml:space="preserve"> 联系电话： </w:t>
      </w:r>
      <w:r>
        <w:rPr/>
        <w:t>19991958101</w:t>
      </w:r>
    </w:p>
    <w:p>
      <w:pPr>
        <w:pStyle w:val="null3"/>
        <w:outlineLvl w:val="3"/>
      </w:pPr>
      <w:r>
        <w:rPr>
          <w:b/>
          <w:sz w:val="24"/>
        </w:rPr>
        <w:t>采购监督机构：</w:t>
      </w:r>
      <w:r>
        <w:rPr>
          <w:b/>
          <w:sz w:val="24"/>
        </w:rPr>
        <w:t>铜川市王益区政府采购管理股</w:t>
      </w:r>
    </w:p>
    <w:p>
      <w:pPr>
        <w:pStyle w:val="null3"/>
        <w:ind w:firstLine="480"/>
      </w:pPr>
      <w:r>
        <w:rPr/>
        <w:t>联系人：</w:t>
      </w:r>
      <w:r>
        <w:rPr/>
        <w:t>段鹏</w:t>
      </w:r>
    </w:p>
    <w:p>
      <w:pPr>
        <w:pStyle w:val="null3"/>
        <w:ind w:firstLine="480"/>
      </w:pPr>
      <w:r>
        <w:rPr/>
        <w:t>联系电话：</w:t>
      </w:r>
      <w:r>
        <w:rPr/>
        <w:t>0919-2582209</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采购包1：2,354,400.86元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照《国家计委关于印发招标代理服务收费管理暂行办法的通知》（计价格【2002】1980号）和国家发改委办公厅颁发的《关于招标代理服务收费有关问题的通知》（发改办价格【2003】857号）文件规定的标准收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铜川市王益区市政园林工程管理所</w:t>
      </w:r>
      <w:r>
        <w:rPr/>
        <w:t>和</w:t>
      </w:r>
      <w:r>
        <w:rPr/>
        <w:t>陕西智华兴业建设项目管理有限公司</w:t>
      </w:r>
      <w:r>
        <w:rPr/>
        <w:t>享有。对磋商文件中供应商参加本次政府采购活动应当具备的条件，磋商项目技术、服务、商务及其他要求，评审细则及标准由</w:t>
      </w:r>
      <w:r>
        <w:rPr/>
        <w:t>铜川市王益区市政园林工程管理所</w:t>
      </w:r>
      <w:r>
        <w:rPr/>
        <w:t>负责解释。除上述磋商文件内容，其他内容由</w:t>
      </w:r>
      <w:r>
        <w:rPr/>
        <w:t>陕西智华兴业建设项目管理有限公司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铜川市王益区市政园林工程管理所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陕西智华兴业建设项目管理有限公司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2.6.7履约验收方案</w:t>
      </w:r>
    </w:p>
    <w:p>
      <w:pPr>
        <w:pStyle w:val="null3"/>
      </w:pPr>
      <w:r>
        <w:rPr/>
        <w:t>采购包1：</w:t>
      </w:r>
    </w:p>
    <w:p>
      <w:pPr>
        <w:pStyle w:val="null3"/>
      </w:pPr>
      <w:r>
        <w:rPr/>
        <w:t>（一）验收标准：质量应符合现行国家各项规定及验收规范的合格标准并满足采购人要求； （二）验收方法：（1）在竣工后，中标人应向采购人提交工程竣工报告，申请工程竣工验收，并将施工过程中相关资料提交采购人。（2）采购人收到工程竣工报告后，对符合竣工验收要求的工程，组织相关单位和其他有关方面的专家组成验收组共同验收，签署的工程竣工验收意见。（3）验收合格后，采购人出具《工程竣工验收报告》，并在相关主管部门备案。（4）验收不合格的中标单位，必须在接到通知后5个日历日内确保工程通过验收。如接到通知后 5个日历日内验收仍不合格，采购人可提出索赔或取消其施工合同。 （三）验收依据：（1）合同文本及合同补充文件（条款）。（2）采购文件。（3）投标文件。（4）工程量清单。（5）施工质量验收标准。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b/>
          <w:sz w:val="24"/>
        </w:rPr>
        <w:t>2.6.8资金支付</w:t>
      </w:r>
    </w:p>
    <w:p>
      <w:pPr>
        <w:pStyle w:val="null3"/>
        <w:ind w:firstLine="480"/>
      </w:pPr>
      <w:r>
        <w:rPr/>
        <w:t>采购人将按照政府采购合同规定，及时向成交供应商支付采购资金。</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陕西智华兴业建设项目管理有限公司</w:t>
      </w:r>
      <w:r>
        <w:rPr/>
        <w:t xml:space="preserve"> 负责答复；供应商对采购过程的询问、质疑由</w:t>
      </w:r>
      <w:r>
        <w:rPr/>
        <w:t>陕西智华兴业建设项目管理有限公司</w:t>
      </w:r>
      <w:r>
        <w:rPr/>
        <w:t xml:space="preserve"> 负责答复；供应商对采购结果的询问、质疑由 </w:t>
      </w:r>
      <w:r>
        <w:rPr/>
        <w:t>陕西智华兴业建设项目管理有限公司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联系人：朱工</w:t>
      </w:r>
    </w:p>
    <w:p>
      <w:pPr>
        <w:pStyle w:val="null3"/>
      </w:pPr>
      <w:r>
        <w:rPr/>
        <w:t>联系电话：19991958101</w:t>
      </w:r>
    </w:p>
    <w:p>
      <w:pPr>
        <w:pStyle w:val="null3"/>
      </w:pPr>
      <w:r>
        <w:rPr/>
        <w:t>地址：陕西省西安市雁塔区朱雀大街南段6号紫郡长安小区4栋1单元15层3号</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3.1技术、服务标准和要求</w:t>
      </w:r>
    </w:p>
    <w:p>
      <w:pPr>
        <w:pStyle w:val="null3"/>
      </w:pPr>
      <w:r>
        <w:rPr/>
        <w:t>采购包1：</w:t>
      </w:r>
    </w:p>
    <w:p>
      <w:pPr>
        <w:pStyle w:val="null3"/>
      </w:pPr>
      <w:r>
        <w:rPr/>
        <w:t>采购包预算金额（元）: 2,354,400.86</w:t>
      </w:r>
    </w:p>
    <w:p>
      <w:pPr>
        <w:pStyle w:val="null3"/>
      </w:pPr>
      <w:r>
        <w:rPr/>
        <w:t>采购包最高限价（元）: 2,354,400.86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铜川市王益区2024年城市绿地、城市排水设施维修养护工程</w:t>
            </w:r>
          </w:p>
        </w:tc>
        <w:tc>
          <w:tcPr>
            <w:tcW w:type="dxa" w:w="1384"/>
          </w:tcPr>
          <w:p>
            <w:pPr>
              <w:pStyle w:val="null3"/>
              <w:jc w:val="right"/>
            </w:pPr>
            <w:r>
              <w:rPr/>
              <w:t>1.00</w:t>
            </w:r>
          </w:p>
        </w:tc>
        <w:tc>
          <w:tcPr>
            <w:tcW w:type="dxa" w:w="1384"/>
          </w:tcPr>
          <w:p>
            <w:pPr>
              <w:pStyle w:val="null3"/>
              <w:jc w:val="right"/>
            </w:pPr>
            <w:r>
              <w:rPr/>
              <w:t>2,354,400.86</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标的名称：铜川市王益区2024年城市绿地、城市排水设施维修养护工程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137"/>
              <w:gridCol w:w="255"/>
              <w:gridCol w:w="255"/>
              <w:gridCol w:w="265"/>
              <w:gridCol w:w="255"/>
              <w:gridCol w:w="677"/>
              <w:gridCol w:w="705"/>
            </w:tblGrid>
            <w:tr>
              <w:tc>
                <w:tcPr>
                  <w:tcW w:type="dxa" w:w="2549"/>
                  <w:gridSpan w:val="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施工内容及技术要求</w:t>
                  </w:r>
                </w:p>
              </w:tc>
            </w:tr>
            <w:tr>
              <w:tc>
                <w:tcPr>
                  <w:tcW w:type="dxa" w:w="2549"/>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一、工程量清单</w:t>
                  </w:r>
                </w:p>
              </w:tc>
            </w:tr>
            <w:tr>
              <w:tc>
                <w:tcPr>
                  <w:tcW w:type="dxa" w:w="392"/>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序号</w:t>
                  </w:r>
                </w:p>
              </w:tc>
              <w:tc>
                <w:tcPr>
                  <w:tcW w:type="dxa" w:w="775"/>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分项名称</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数量</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单位</w:t>
                  </w:r>
                </w:p>
              </w:tc>
            </w:tr>
            <w:tr>
              <w:tc>
                <w:tcPr>
                  <w:tcW w:type="dxa" w:w="2549"/>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（一）园林绿化部分</w:t>
                  </w:r>
                </w:p>
              </w:tc>
            </w:tr>
            <w:tr>
              <w:tc>
                <w:tcPr>
                  <w:tcW w:type="dxa" w:w="392"/>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1</w:t>
                  </w:r>
                </w:p>
              </w:tc>
              <w:tc>
                <w:tcPr>
                  <w:tcW w:type="dxa" w:w="775"/>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广场、花坛、绿篱保洁修剪</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78849.81</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平方米</w:t>
                  </w:r>
                </w:p>
              </w:tc>
            </w:tr>
            <w:tr>
              <w:tc>
                <w:tcPr>
                  <w:tcW w:type="dxa" w:w="392"/>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2</w:t>
                  </w:r>
                </w:p>
              </w:tc>
              <w:tc>
                <w:tcPr>
                  <w:tcW w:type="dxa" w:w="775"/>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行道树修剪打药</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5011</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株</w:t>
                  </w:r>
                </w:p>
              </w:tc>
            </w:tr>
            <w:tr>
              <w:tc>
                <w:tcPr>
                  <w:tcW w:type="dxa" w:w="392"/>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3</w:t>
                  </w:r>
                </w:p>
              </w:tc>
              <w:tc>
                <w:tcPr>
                  <w:tcW w:type="dxa" w:w="775"/>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林地管护打草及养护</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10185.2</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亩</w:t>
                  </w:r>
                </w:p>
              </w:tc>
            </w:tr>
            <w:tr>
              <w:tc>
                <w:tcPr>
                  <w:tcW w:type="dxa" w:w="2549"/>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（二）排水设施部分</w:t>
                  </w:r>
                </w:p>
              </w:tc>
            </w:tr>
            <w:tr>
              <w:tc>
                <w:tcPr>
                  <w:tcW w:type="dxa" w:w="392"/>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4</w:t>
                  </w:r>
                </w:p>
              </w:tc>
              <w:tc>
                <w:tcPr>
                  <w:tcW w:type="dxa" w:w="775"/>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污水收集口维修</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276</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个</w:t>
                  </w:r>
                </w:p>
              </w:tc>
            </w:tr>
            <w:tr>
              <w:tc>
                <w:tcPr>
                  <w:tcW w:type="dxa" w:w="392"/>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5</w:t>
                  </w:r>
                </w:p>
              </w:tc>
              <w:tc>
                <w:tcPr>
                  <w:tcW w:type="dxa" w:w="775"/>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雨水收集井清掏</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1568</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座</w:t>
                  </w:r>
                </w:p>
              </w:tc>
            </w:tr>
            <w:tr>
              <w:tc>
                <w:tcPr>
                  <w:tcW w:type="dxa" w:w="392"/>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6</w:t>
                  </w:r>
                </w:p>
              </w:tc>
              <w:tc>
                <w:tcPr>
                  <w:tcW w:type="dxa" w:w="775"/>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污水管道疏通</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26000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米</w:t>
                  </w:r>
                </w:p>
              </w:tc>
            </w:tr>
            <w:tr>
              <w:tc>
                <w:tcPr>
                  <w:tcW w:type="dxa" w:w="392"/>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7</w:t>
                  </w:r>
                </w:p>
              </w:tc>
              <w:tc>
                <w:tcPr>
                  <w:tcW w:type="dxa" w:w="775"/>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排水等市政设施大中型维修</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1</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项</w:t>
                  </w:r>
                </w:p>
              </w:tc>
            </w:tr>
            <w:tr>
              <w:tc>
                <w:tcPr>
                  <w:tcW w:type="dxa" w:w="2549"/>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二、技术要求</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序号</w:t>
                  </w:r>
                </w:p>
              </w:tc>
              <w:tc>
                <w:tcPr>
                  <w:tcW w:type="dxa" w:w="51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分类</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分项</w:t>
                  </w:r>
                </w:p>
              </w:tc>
              <w:tc>
                <w:tcPr>
                  <w:tcW w:type="dxa" w:w="163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具体要求</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1</w:t>
                  </w:r>
                </w:p>
              </w:tc>
              <w:tc>
                <w:tcPr>
                  <w:tcW w:type="dxa" w:w="510"/>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园林绿化部分</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修剪</w:t>
                  </w:r>
                </w:p>
              </w:tc>
              <w:tc>
                <w:tcPr>
                  <w:tcW w:type="dxa" w:w="163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2"/>
                    </w:rPr>
                    <w:t>1.</w:t>
                  </w:r>
                  <w:r>
                    <w:rPr>
                      <w:rFonts w:ascii="宋体" w:hAnsi="宋体" w:cs="宋体" w:eastAsia="宋体"/>
                      <w:sz w:val="22"/>
                    </w:rPr>
                    <w:t>乔木：每年不少于一次整形修剪。无干枯枝，病虫枝、死株；树木枝条不遮挡交通信号灯，不阻碍车辆和行人通行，抹牙及时。</w:t>
                  </w:r>
                </w:p>
                <w:p>
                  <w:pPr>
                    <w:pStyle w:val="null3"/>
                    <w:jc w:val="left"/>
                  </w:pPr>
                  <w:r>
                    <w:rPr>
                      <w:rFonts w:ascii="宋体" w:hAnsi="宋体" w:cs="宋体" w:eastAsia="宋体"/>
                      <w:sz w:val="22"/>
                    </w:rPr>
                    <w:t xml:space="preserve">2. </w:t>
                  </w:r>
                  <w:r>
                    <w:rPr>
                      <w:rFonts w:ascii="宋体" w:hAnsi="宋体" w:cs="宋体" w:eastAsia="宋体"/>
                      <w:sz w:val="22"/>
                    </w:rPr>
                    <w:t>灌木：每年不低于三次修剪。造型美观，新长枝高度不得超过10厘米；无杂草、干枯枝、病虫害、死株等。</w:t>
                  </w:r>
                </w:p>
                <w:p>
                  <w:pPr>
                    <w:pStyle w:val="null3"/>
                    <w:jc w:val="left"/>
                  </w:pPr>
                  <w:r>
                    <w:rPr>
                      <w:rFonts w:ascii="宋体" w:hAnsi="宋体" w:cs="宋体" w:eastAsia="宋体"/>
                      <w:sz w:val="22"/>
                    </w:rPr>
                    <w:t xml:space="preserve">3. </w:t>
                  </w:r>
                  <w:r>
                    <w:rPr>
                      <w:rFonts w:ascii="宋体" w:hAnsi="宋体" w:cs="宋体" w:eastAsia="宋体"/>
                      <w:sz w:val="22"/>
                    </w:rPr>
                    <w:t>绿篱（组团）按照不同植物的生长特性，适时修剪。边幅整齐划一，无杂草、枯枝、枯叶、病虫害等。</w:t>
                  </w:r>
                </w:p>
                <w:p>
                  <w:pPr>
                    <w:pStyle w:val="null3"/>
                    <w:jc w:val="left"/>
                  </w:pPr>
                  <w:r>
                    <w:rPr>
                      <w:rFonts w:ascii="宋体" w:hAnsi="宋体" w:cs="宋体" w:eastAsia="宋体"/>
                      <w:sz w:val="22"/>
                    </w:rPr>
                    <w:t xml:space="preserve">4. </w:t>
                  </w:r>
                  <w:r>
                    <w:rPr>
                      <w:rFonts w:ascii="宋体" w:hAnsi="宋体" w:cs="宋体" w:eastAsia="宋体"/>
                      <w:sz w:val="22"/>
                    </w:rPr>
                    <w:t>草坪：草坪修剪边缘整齐，高度一致，高度不得高于15cm；目视无杂草、黄土裸露、病虫害、死亡等现象。</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2</w:t>
                  </w:r>
                </w:p>
              </w:tc>
              <w:tc>
                <w:tcPr>
                  <w:tcW w:type="dxa" w:w="510"/>
                  <w:gridSpan w:val="2"/>
                  <w:vMerge/>
                  <w:tcBorders>
                    <w:top w:val="none" w:color="000000" w:sz="4"/>
                    <w:left w:val="none" w:color="000000" w:sz="4"/>
                    <w:bottom w:val="single" w:color="000000" w:sz="4"/>
                    <w:right w:val="single" w:color="000000" w:sz="4"/>
                  </w:tcBorders>
                </w:tc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病虫害防治</w:t>
                  </w:r>
                </w:p>
              </w:tc>
              <w:tc>
                <w:tcPr>
                  <w:tcW w:type="dxa" w:w="163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2"/>
                    </w:rPr>
                    <w:t>病虫害控制在每条道路株数总量2%以下，目视树干、枝条、枝叶及树下无明显病虫害痕迹；每年病虫害预防性防治次数不低于4次，防治方法科学合理，及时有效。</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3</w:t>
                  </w:r>
                </w:p>
              </w:tc>
              <w:tc>
                <w:tcPr>
                  <w:tcW w:type="dxa" w:w="510"/>
                  <w:gridSpan w:val="2"/>
                  <w:vMerge/>
                  <w:tcBorders>
                    <w:top w:val="none" w:color="000000" w:sz="4"/>
                    <w:left w:val="none" w:color="000000" w:sz="4"/>
                    <w:bottom w:val="single" w:color="000000" w:sz="4"/>
                    <w:right w:val="single" w:color="000000" w:sz="4"/>
                  </w:tcBorders>
                </w:tc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浇水</w:t>
                  </w:r>
                </w:p>
              </w:tc>
              <w:tc>
                <w:tcPr>
                  <w:tcW w:type="dxa" w:w="163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2"/>
                    </w:rPr>
                    <w:t>乔、灌木、绿篱、草坪：目视无枯黄、死亡现象；冬季浇水时间为10点-16点，夏季浇水时间为18点-次日9点前。</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4</w:t>
                  </w:r>
                </w:p>
              </w:tc>
              <w:tc>
                <w:tcPr>
                  <w:tcW w:type="dxa" w:w="510"/>
                  <w:gridSpan w:val="2"/>
                  <w:vMerge/>
                  <w:tcBorders>
                    <w:top w:val="none" w:color="000000" w:sz="4"/>
                    <w:left w:val="none" w:color="000000" w:sz="4"/>
                    <w:bottom w:val="single" w:color="000000" w:sz="4"/>
                    <w:right w:val="single" w:color="000000" w:sz="4"/>
                  </w:tcBorders>
                </w:tc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其他</w:t>
                  </w:r>
                </w:p>
              </w:tc>
              <w:tc>
                <w:tcPr>
                  <w:tcW w:type="dxa" w:w="163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2"/>
                    </w:rPr>
                    <w:t>1.</w:t>
                  </w:r>
                  <w:r>
                    <w:rPr>
                      <w:rFonts w:ascii="宋体" w:hAnsi="宋体" w:cs="宋体" w:eastAsia="宋体"/>
                      <w:sz w:val="22"/>
                    </w:rPr>
                    <w:t>补植补栽：每年春、秋两季，按照植物生长习性及所里安排补植补栽，无缺株断带以及黄土裸露现象。特别情况需在5日内补植。</w:t>
                  </w:r>
                </w:p>
                <w:p>
                  <w:pPr>
                    <w:pStyle w:val="null3"/>
                    <w:jc w:val="left"/>
                  </w:pPr>
                  <w:r>
                    <w:rPr>
                      <w:rFonts w:ascii="宋体" w:hAnsi="宋体" w:cs="宋体" w:eastAsia="宋体"/>
                      <w:sz w:val="22"/>
                    </w:rPr>
                    <w:t xml:space="preserve">2. </w:t>
                  </w:r>
                  <w:r>
                    <w:rPr>
                      <w:rFonts w:ascii="宋体" w:hAnsi="宋体" w:cs="宋体" w:eastAsia="宋体"/>
                      <w:sz w:val="22"/>
                    </w:rPr>
                    <w:t>设施维护：绿化带内景观灯、座椅、喷灌、运动器材等设施完好。</w:t>
                  </w:r>
                </w:p>
                <w:p>
                  <w:pPr>
                    <w:pStyle w:val="null3"/>
                    <w:jc w:val="left"/>
                  </w:pPr>
                  <w:r>
                    <w:rPr>
                      <w:rFonts w:ascii="宋体" w:hAnsi="宋体" w:cs="宋体" w:eastAsia="宋体"/>
                      <w:sz w:val="22"/>
                    </w:rPr>
                    <w:t xml:space="preserve">3. </w:t>
                  </w:r>
                  <w:r>
                    <w:rPr>
                      <w:rFonts w:ascii="宋体" w:hAnsi="宋体" w:cs="宋体" w:eastAsia="宋体"/>
                      <w:sz w:val="22"/>
                    </w:rPr>
                    <w:t>安全生产：及时排查安全隐患，整改期限不得超过5日，全年无安全事故发生。</w:t>
                  </w:r>
                </w:p>
                <w:p>
                  <w:pPr>
                    <w:pStyle w:val="null3"/>
                    <w:jc w:val="left"/>
                  </w:pPr>
                  <w:r>
                    <w:rPr>
                      <w:rFonts w:ascii="宋体" w:hAnsi="宋体" w:cs="宋体" w:eastAsia="宋体"/>
                      <w:sz w:val="22"/>
                    </w:rPr>
                    <w:t xml:space="preserve">4. </w:t>
                  </w:r>
                  <w:r>
                    <w:rPr>
                      <w:rFonts w:ascii="宋体" w:hAnsi="宋体" w:cs="宋体" w:eastAsia="宋体"/>
                      <w:sz w:val="22"/>
                    </w:rPr>
                    <w:t>重点工作完成情况等：按时上报周、月度工作进展情况；按时解决各类投诉等相关问题；按期完成所里安排的工作任务。</w:t>
                  </w:r>
                </w:p>
                <w:p>
                  <w:pPr>
                    <w:pStyle w:val="null3"/>
                    <w:jc w:val="left"/>
                  </w:pPr>
                  <w:r>
                    <w:rPr>
                      <w:rFonts w:ascii="宋体" w:hAnsi="宋体" w:cs="宋体" w:eastAsia="宋体"/>
                      <w:sz w:val="22"/>
                    </w:rPr>
                    <w:t xml:space="preserve">5. </w:t>
                  </w:r>
                  <w:r>
                    <w:rPr>
                      <w:rFonts w:ascii="宋体" w:hAnsi="宋体" w:cs="宋体" w:eastAsia="宋体"/>
                      <w:sz w:val="22"/>
                    </w:rPr>
                    <w:t>人员在岗：管护责任明确，管护人员在岗，标志明显。</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5</w:t>
                  </w:r>
                </w:p>
              </w:tc>
              <w:tc>
                <w:tcPr>
                  <w:tcW w:type="dxa" w:w="510"/>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排水设施部分</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河道污水收集设施管理</w:t>
                  </w:r>
                </w:p>
              </w:tc>
              <w:tc>
                <w:tcPr>
                  <w:tcW w:type="dxa" w:w="163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2"/>
                    </w:rPr>
                    <w:t>1.</w:t>
                  </w:r>
                  <w:r>
                    <w:rPr>
                      <w:rFonts w:ascii="宋体" w:hAnsi="宋体" w:cs="宋体" w:eastAsia="宋体"/>
                      <w:sz w:val="21"/>
                    </w:rPr>
                    <w:t>清楚河道污水收集设施的位置、走向、管理范围等基本情况。</w:t>
                  </w:r>
                </w:p>
                <w:p>
                  <w:pPr>
                    <w:pStyle w:val="null3"/>
                    <w:jc w:val="left"/>
                  </w:pPr>
                  <w:r>
                    <w:rPr>
                      <w:rFonts w:ascii="calibri, &quot;sans-serif&quot;" w:hAnsi="calibri, &quot;sans-serif&quot;" w:cs="calibri, &quot;sans-serif&quot;" w:eastAsia="calibri, &quot;sans-serif&quot;"/>
                      <w:sz w:val="21"/>
                    </w:rPr>
                    <w:t xml:space="preserve">2. </w:t>
                  </w:r>
                  <w:r>
                    <w:rPr>
                      <w:rFonts w:ascii="宋体" w:hAnsi="宋体" w:cs="宋体" w:eastAsia="宋体"/>
                      <w:sz w:val="21"/>
                    </w:rPr>
                    <w:t>及时清理堵塞污水收集设施，保持设施的正常运行。</w:t>
                  </w:r>
                </w:p>
                <w:p>
                  <w:pPr>
                    <w:pStyle w:val="null3"/>
                    <w:jc w:val="left"/>
                  </w:pPr>
                  <w:r>
                    <w:rPr>
                      <w:rFonts w:ascii="calibri, &quot;sans-serif&quot;" w:hAnsi="calibri, &quot;sans-serif&quot;" w:cs="calibri, &quot;sans-serif&quot;" w:eastAsia="calibri, &quot;sans-serif&quot;"/>
                      <w:sz w:val="21"/>
                    </w:rPr>
                    <w:t xml:space="preserve">3. </w:t>
                  </w:r>
                  <w:r>
                    <w:rPr>
                      <w:rFonts w:ascii="宋体" w:hAnsi="宋体" w:cs="宋体" w:eastAsia="宋体"/>
                      <w:sz w:val="21"/>
                    </w:rPr>
                    <w:t>加强对河道污水收集设施的巡查，发现水毁、破损要及时修复、上报（并采取有效的处理措施）。</w:t>
                  </w:r>
                </w:p>
                <w:p>
                  <w:pPr>
                    <w:pStyle w:val="null3"/>
                    <w:jc w:val="left"/>
                  </w:pPr>
                  <w:r>
                    <w:rPr>
                      <w:rFonts w:ascii="calibri, &quot;sans-serif&quot;" w:hAnsi="calibri, &quot;sans-serif&quot;" w:cs="calibri, &quot;sans-serif&quot;" w:eastAsia="calibri, &quot;sans-serif&quot;"/>
                      <w:sz w:val="21"/>
                    </w:rPr>
                    <w:t xml:space="preserve">4. </w:t>
                  </w:r>
                  <w:r>
                    <w:rPr>
                      <w:rFonts w:ascii="宋体" w:hAnsi="宋体" w:cs="宋体" w:eastAsia="宋体"/>
                      <w:sz w:val="21"/>
                    </w:rPr>
                    <w:t>加强河道设施巡查发现河道出现新的污水直排及人为破坏，造成水质污染，需及时上报并自觉查找原因。</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6</w:t>
                  </w:r>
                </w:p>
              </w:tc>
              <w:tc>
                <w:tcPr>
                  <w:tcW w:type="dxa" w:w="510"/>
                  <w:gridSpan w:val="2"/>
                  <w:vMerge/>
                  <w:tcBorders>
                    <w:top w:val="none" w:color="000000" w:sz="4"/>
                    <w:left w:val="none" w:color="000000" w:sz="4"/>
                    <w:bottom w:val="single" w:color="000000" w:sz="4"/>
                    <w:right w:val="single" w:color="000000" w:sz="4"/>
                  </w:tcBorders>
                </w:tc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2"/>
                    </w:rPr>
                    <w:t>市政排水设施管理</w:t>
                  </w:r>
                </w:p>
              </w:tc>
              <w:tc>
                <w:tcPr>
                  <w:tcW w:type="dxa" w:w="163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2"/>
                    </w:rPr>
                    <w:t>1.</w:t>
                  </w:r>
                  <w:r>
                    <w:rPr>
                      <w:rFonts w:ascii="宋体" w:hAnsi="宋体" w:cs="宋体" w:eastAsia="宋体"/>
                      <w:sz w:val="21"/>
                    </w:rPr>
                    <w:t>清楚市政排水设施的位置、走向、管理范围等基本情况；</w:t>
                  </w:r>
                </w:p>
                <w:p>
                  <w:pPr>
                    <w:pStyle w:val="null3"/>
                    <w:jc w:val="left"/>
                  </w:pPr>
                  <w:r>
                    <w:rPr>
                      <w:rFonts w:ascii="calibri, &quot;sans-serif&quot;" w:hAnsi="calibri, &quot;sans-serif&quot;" w:cs="calibri, &quot;sans-serif&quot;" w:eastAsia="calibri, &quot;sans-serif&quot;"/>
                      <w:sz w:val="21"/>
                    </w:rPr>
                    <w:t xml:space="preserve">2. </w:t>
                  </w:r>
                  <w:r>
                    <w:rPr>
                      <w:rFonts w:ascii="宋体" w:hAnsi="宋体" w:cs="宋体" w:eastAsia="宋体"/>
                      <w:sz w:val="21"/>
                    </w:rPr>
                    <w:t>加强对排水井具的巡查，发现损坏急时上报、更换（情况严重必须采取有效的处理措施）；</w:t>
                  </w:r>
                </w:p>
                <w:p>
                  <w:pPr>
                    <w:pStyle w:val="null3"/>
                    <w:jc w:val="left"/>
                  </w:pPr>
                  <w:r>
                    <w:rPr>
                      <w:rFonts w:ascii="calibri, &quot;sans-serif&quot;" w:hAnsi="calibri, &quot;sans-serif&quot;" w:cs="calibri, &quot;sans-serif&quot;" w:eastAsia="calibri, &quot;sans-serif&quot;"/>
                      <w:sz w:val="21"/>
                    </w:rPr>
                    <w:t xml:space="preserve">3. </w:t>
                  </w:r>
                  <w:r>
                    <w:rPr>
                      <w:rFonts w:ascii="宋体" w:hAnsi="宋体" w:cs="宋体" w:eastAsia="宋体"/>
                      <w:sz w:val="21"/>
                    </w:rPr>
                    <w:t>定期对市政排水管网系统进行疏通维护，出现管道堵塞及时进行疏通。</w:t>
                  </w:r>
                </w:p>
                <w:p>
                  <w:pPr>
                    <w:pStyle w:val="null3"/>
                    <w:jc w:val="left"/>
                  </w:pPr>
                  <w:r>
                    <w:rPr>
                      <w:rFonts w:ascii="宋体" w:hAnsi="宋体" w:cs="宋体" w:eastAsia="宋体"/>
                      <w:sz w:val="22"/>
                    </w:rPr>
                    <w:t>4.</w:t>
                  </w:r>
                  <w:r>
                    <w:rPr>
                      <w:rFonts w:ascii="宋体" w:hAnsi="宋体" w:cs="宋体" w:eastAsia="宋体"/>
                      <w:sz w:val="21"/>
                    </w:rPr>
                    <w:t>加强对市政排水设施的日常巡查，对出现的破坏市政排水设施的开挖、拆除及私接管道情况采取制止并及时上报；</w:t>
                  </w:r>
                </w:p>
                <w:p>
                  <w:pPr>
                    <w:pStyle w:val="null3"/>
                    <w:jc w:val="left"/>
                  </w:pPr>
                  <w:r>
                    <w:rPr>
                      <w:rFonts w:ascii="calibri, &quot;sans-serif&quot;" w:hAnsi="calibri, &quot;sans-serif&quot;" w:cs="calibri, &quot;sans-serif&quot;" w:eastAsia="calibri, &quot;sans-serif&quot;"/>
                      <w:sz w:val="21"/>
                    </w:rPr>
                    <w:t xml:space="preserve">5. </w:t>
                  </w:r>
                  <w:r>
                    <w:rPr>
                      <w:rFonts w:ascii="宋体" w:hAnsi="宋体" w:cs="宋体" w:eastAsia="宋体"/>
                      <w:sz w:val="21"/>
                    </w:rPr>
                    <w:t>做好检查井、雨水收集井的日常巡查工作，出现溢流、堵塞及时疏通处理（情况严重必须采取有效的处理措施）。</w:t>
                  </w:r>
                </w:p>
              </w:tc>
            </w:tr>
            <w:tr>
              <w:tc>
                <w:tcPr>
                  <w:tcW w:type="dxa" w:w="2549"/>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40"/>
                    <w:jc w:val="left"/>
                  </w:pPr>
                  <w:r>
                    <w:rPr>
                      <w:rFonts w:ascii="宋体" w:hAnsi="宋体" w:cs="宋体" w:eastAsia="宋体"/>
                      <w:sz w:val="22"/>
                    </w:rPr>
                    <w:t>投标人须对《施工内容及技术要求》中任何材料需求和所包括涉及的采购事项进行完整报价，采购代理机构拒绝只对其中一部分进行报价的投标。投标人应在投标文件中的分项报价表上标明对本次采购拟提供工程的单价和总价。任何有选择的报价将不予接受，每项只允许有一个报价。</w:t>
                  </w:r>
                  <w:r>
                    <w:rPr>
                      <w:rFonts w:ascii="宋体" w:hAnsi="宋体" w:cs="宋体" w:eastAsia="宋体"/>
                      <w:b/>
                      <w:sz w:val="22"/>
                    </w:rPr>
                    <w:t>工程量清单中第7项“排水等市政设施大中型维修”1项，该部分暂估价为40万元，各投标单位按此价格报价，最终价格以实际工作量认质认价。</w:t>
                  </w:r>
                </w:p>
                <w:p>
                  <w:pPr>
                    <w:pStyle w:val="null3"/>
                    <w:ind w:firstLine="440"/>
                    <w:jc w:val="left"/>
                  </w:pPr>
                  <w:r>
                    <w:rPr>
                      <w:rFonts w:ascii="宋体" w:hAnsi="宋体" w:cs="宋体" w:eastAsia="宋体"/>
                      <w:sz w:val="22"/>
                    </w:rPr>
                    <w:t xml:space="preserve">以上内容为全年工作内容，投标人按照各分项名称，报出相应单价及总价，价格应包括完成该工程的分部分项工程费、措施费、其他项目费用、利润、成本、规费、税金和投标人必须的其他费用以及合同中明示或暗示的所有风险、责任和义务等全部费用。 </w:t>
                  </w:r>
                </w:p>
                <w:p>
                  <w:pPr>
                    <w:pStyle w:val="null3"/>
                    <w:ind w:firstLine="450"/>
                    <w:jc w:val="left"/>
                  </w:pPr>
                  <w:r>
                    <w:rPr>
                      <w:rFonts w:ascii="宋体" w:hAnsi="宋体" w:cs="宋体" w:eastAsia="宋体"/>
                      <w:sz w:val="22"/>
                    </w:rPr>
                    <w:t>采购人会将任务分解到月，每月制定并下发工程量，投标人依据采购人提供的月工程量需求完成相应任务，质量需“符合现行国家各项规定及验收规范的合格标准并满足采购人要求”,采购人将对该月工程内容进行验收考核，合格后按约定支付当月款项（当月款项根据当月合格工程量据实结算），如当月验收不合格需要在接到验收不合格通知5日内整改到位并确保通过验收考核，否则采购人有权不支付该不合格部分费用，并有权提出索赔或取消其施工合同.</w:t>
                  </w:r>
                </w:p>
              </w:tc>
            </w:tr>
          </w:tbl>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质量需“符合现行国家各项规定及验收规范的合格标准并满足采购人要求”</w:t>
      </w:r>
    </w:p>
    <w:p>
      <w:pPr>
        <w:pStyle w:val="null3"/>
        <w:ind w:firstLine="480"/>
      </w:pPr>
      <w:r>
        <w:rPr/>
        <w:t>三、针对本项目的其他技术服务要求：</w:t>
      </w:r>
    </w:p>
    <w:p>
      <w:pPr>
        <w:pStyle w:val="null3"/>
      </w:pPr>
      <w:r>
        <w:rPr/>
        <w:t>详见本采购需求的第四条中的“技术要求”.在施工过程及绿化养护期内植物死亡，须按原设计品种和规格更换，更换费用由承包人承担。本项目合同履行期（工期）1年。</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b/>
          <w:sz w:val="28"/>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b/>
          <w:sz w:val="24"/>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b/>
          <w:sz w:val="28"/>
        </w:rPr>
        <w:t>3.3其他要求</w:t>
      </w:r>
    </w:p>
    <w:p>
      <w:pPr>
        <w:pStyle w:val="null3"/>
      </w:pPr>
      <w:r>
        <w:rPr/>
        <w:t xml:space="preserve"> 1.为顺利推进政府采购电子化交易平台应用工作，投标人需要在线提交所有通过电子化交易平台实施的政府采购项目的投标文件，同时，线下提交投标文件正本壹份、副本贰份、电子版贰套（正本、副本分开密封，U盘贰套随正本密封，封套须标明投标人名称、项目名称等）。若电子化交易平台文件与纸质投标文件不一致的，以电子化交易平台文件为准。 线下递交文件截止时间：2024年03月29日09时30分（北京时间） 线下递交文件地点：铜川市王益区红旗街正大国际新城C座502室。 2.本项目专门面向小微企业，投标供应商应为满足要求的小型或微型企业或监狱企业或残疾人福利性单位。 小微企业参加政府采购活动，应当出具《政府采购促进中小企业发展管理办法》（财库【2020】 46 号） 规定的《中小企业声明函》，否则不得享受相关中小企业扶持政策。 在政府采购活动中，监狱企业视同小型、微型企业，享受预留份额、评审中价格扣除等政府采购促进中小企业发展的政府采购政策。监狱企业参加政府采购活动时，应当提供由省级以上监狱管理局、戒毒管理局（含新疆生产建设兵团）出具的属于监狱企业的证明文件，未提供或出具证明文件的单位不符合要求的，不视为小微企业， 不享受相关中小企业扶持政策。 在政府采购活动中，残疾人福利性单位视同小型、微型企业，享受预留份额、评审中价格扣除等促进中小企业发展的政府采购政策。残疾人福利性单位属于小型、微型企业的，不重复享受政策。符合条件的残疾人福利性单位在参加政府采购活动时，应当提供《财政部 民政部 中国残疾人联合会关于促进残疾人就业政府采购政策的通知》 规定的《残疾人福利性单位声明函》，并对声明的真实性负责， 供应商提供的《残疾人福利性单位声明函》与事实不符的，依照《政府采购法》第七十七条第一款的规定追究法律责任。未提供的不视为残疾人福利性单位， 不视为小微企业，不享受相关中小企业扶持政策。 各供应商应按实际情况慎重正确填写，对相关声明函的真实性负责，如有虚假需承担相关法律责任。 3.根据《陕西省财政厅关于进一步加大政府采购支持中小企业力度的通知》陕财办采〔2022〕5号规定，采购限额标准以上，200万元以下的货物和服务采购项目、400万元以下的工程采购项目，适宜由中小企业提供的，采购人应当专门面向中小企业采购。超过 200万元的货物和服务采购项目、超过400万元的工程采购项目中适宜由中小企业提供的，面向中小企业的预留份额今年阶段性提高至40%以上，其中预留给小微企业比例不低于70%。 企业规模划分标准按《工业和信息化部、国家统计局、国家发展和改革委员会、财政部关于印发&lt;中小企业划型标准规定&gt;的通知》（工信部联企业【2011】 300 号）文件规定标准确认）。本项目所属行业为建筑业，供应商应根据工信部联企业【2011】 300 号文件中的划型标准按实际填写所属类型。</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响应函 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 供应商资格证明文件</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参与的供应商（联合体）工程的施工单位全部为符合政策要求的小微企业。</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具有独立承担民事责任的能力，提供法人或者其他组织的营业执照等证明文件，自然人参与的提供其身份证明；</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提供2022或2023任一年度经审计的财务审计报告(2024年成立的公司提供成立后企业的资产负债表和利润表），或提供近一年内基本存款账户开户银行开具的资信证明；</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提供2023年03月01日至今任意一个月的缴纳税收的证明材料,(依法免税的单位应提供相关证明材料)；</w:t>
            </w:r>
          </w:p>
        </w:tc>
        <w:tc>
          <w:tcPr>
            <w:tcW w:type="dxa" w:w="1661"/>
          </w:tcPr>
          <w:p>
            <w:pPr>
              <w:pStyle w:val="null3"/>
            </w:pPr>
            <w:r>
              <w:rPr/>
              <w:t>供应商资格证明文件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提供2023年03月01日至今任意一个月的依法缴纳社会保障资金的证明材料（依法不需要缴纳社会保障资金的单位应提供相关证明材料）；</w:t>
            </w:r>
          </w:p>
        </w:tc>
        <w:tc>
          <w:tcPr>
            <w:tcW w:type="dxa" w:w="1661"/>
          </w:tcPr>
          <w:p>
            <w:pPr>
              <w:pStyle w:val="null3"/>
            </w:pPr>
            <w:r>
              <w:rPr/>
              <w:t>供应商资格证明文件</w:t>
            </w:r>
          </w:p>
        </w:tc>
      </w:tr>
      <w:tr>
        <w:tc>
          <w:tcPr>
            <w:tcW w:type="dxa" w:w="831"/>
          </w:tcPr>
          <w:p>
            <w:pPr>
              <w:pStyle w:val="null3"/>
            </w:pPr>
            <w:r>
              <w:rPr/>
              <w:t>5</w:t>
            </w:r>
          </w:p>
        </w:tc>
        <w:tc>
          <w:tcPr>
            <w:tcW w:type="dxa" w:w="2492"/>
          </w:tcPr>
          <w:p>
            <w:pPr>
              <w:pStyle w:val="null3"/>
            </w:pPr>
            <w:r>
              <w:rPr/>
              <w:t>信用查询</w:t>
            </w:r>
          </w:p>
        </w:tc>
        <w:tc>
          <w:tcPr>
            <w:tcW w:type="dxa" w:w="3322"/>
          </w:tcPr>
          <w:p>
            <w:pPr>
              <w:pStyle w:val="null3"/>
            </w:pPr>
            <w:r>
              <w:rPr/>
              <w:t>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t>供应商资格证明文件</w:t>
            </w:r>
          </w:p>
        </w:tc>
      </w:tr>
      <w:tr>
        <w:tc>
          <w:tcPr>
            <w:tcW w:type="dxa" w:w="831"/>
          </w:tcPr>
          <w:p>
            <w:pPr>
              <w:pStyle w:val="null3"/>
            </w:pPr>
            <w:r>
              <w:rPr/>
              <w:t>6</w:t>
            </w:r>
          </w:p>
        </w:tc>
        <w:tc>
          <w:tcPr>
            <w:tcW w:type="dxa" w:w="2492"/>
          </w:tcPr>
          <w:p>
            <w:pPr>
              <w:pStyle w:val="null3"/>
            </w:pPr>
            <w:r>
              <w:rPr/>
              <w:t>履约能力</w:t>
            </w:r>
          </w:p>
        </w:tc>
        <w:tc>
          <w:tcPr>
            <w:tcW w:type="dxa" w:w="3322"/>
          </w:tcPr>
          <w:p>
            <w:pPr>
              <w:pStyle w:val="null3"/>
            </w:pPr>
            <w:r>
              <w:rPr/>
              <w:t>出具具备履行合同所必需的设备和专业技术能力的书面声明；</w:t>
            </w:r>
          </w:p>
        </w:tc>
        <w:tc>
          <w:tcPr>
            <w:tcW w:type="dxa" w:w="1661"/>
          </w:tcPr>
          <w:p>
            <w:pPr>
              <w:pStyle w:val="null3"/>
            </w:pPr>
            <w:r>
              <w:rPr/>
              <w:t>供应商资格证明文件</w:t>
            </w:r>
          </w:p>
        </w:tc>
      </w:tr>
      <w:tr>
        <w:tc>
          <w:tcPr>
            <w:tcW w:type="dxa" w:w="831"/>
          </w:tcPr>
          <w:p>
            <w:pPr>
              <w:pStyle w:val="null3"/>
            </w:pPr>
            <w:r>
              <w:rPr/>
              <w:t>7</w:t>
            </w:r>
          </w:p>
        </w:tc>
        <w:tc>
          <w:tcPr>
            <w:tcW w:type="dxa" w:w="2492"/>
          </w:tcPr>
          <w:p>
            <w:pPr>
              <w:pStyle w:val="null3"/>
            </w:pPr>
            <w:r>
              <w:rPr/>
              <w:t>无重大违法记录</w:t>
            </w:r>
          </w:p>
        </w:tc>
        <w:tc>
          <w:tcPr>
            <w:tcW w:type="dxa" w:w="3322"/>
          </w:tcPr>
          <w:p>
            <w:pPr>
              <w:pStyle w:val="null3"/>
            </w:pPr>
            <w:r>
              <w:rPr/>
              <w:t>参加政府采购活动前3年内，在经营活动中没有重大违法记录（提供书面声明函）；</w:t>
            </w:r>
          </w:p>
        </w:tc>
        <w:tc>
          <w:tcPr>
            <w:tcW w:type="dxa" w:w="1661"/>
          </w:tcPr>
          <w:p>
            <w:pPr>
              <w:pStyle w:val="null3"/>
            </w:pPr>
            <w:r>
              <w:rPr/>
              <w:t>供应商资格证明文件</w:t>
            </w:r>
          </w:p>
        </w:tc>
      </w:tr>
      <w:tr>
        <w:tc>
          <w:tcPr>
            <w:tcW w:type="dxa" w:w="831"/>
          </w:tcPr>
          <w:p>
            <w:pPr>
              <w:pStyle w:val="null3"/>
            </w:pPr>
            <w:r>
              <w:rPr/>
              <w:t>8</w:t>
            </w:r>
          </w:p>
        </w:tc>
        <w:tc>
          <w:tcPr>
            <w:tcW w:type="dxa" w:w="2492"/>
          </w:tcPr>
          <w:p>
            <w:pPr>
              <w:pStyle w:val="null3"/>
            </w:pPr>
            <w:r>
              <w:rPr/>
              <w:t>企业关联关系</w:t>
            </w:r>
          </w:p>
        </w:tc>
        <w:tc>
          <w:tcPr>
            <w:tcW w:type="dxa" w:w="3322"/>
          </w:tcPr>
          <w:p>
            <w:pPr>
              <w:pStyle w:val="null3"/>
            </w:pPr>
            <w:r>
              <w:rPr/>
              <w:t>单位负责人为同一人或者存在直接控股、管理关系的不同供应商不得同时参加本项目磋商；</w:t>
            </w:r>
          </w:p>
        </w:tc>
        <w:tc>
          <w:tcPr>
            <w:tcW w:type="dxa" w:w="1661"/>
          </w:tcPr>
          <w:p>
            <w:pPr>
              <w:pStyle w:val="null3"/>
            </w:pPr>
            <w:r>
              <w:rPr/>
              <w:t>供应商资格证明文件</w:t>
            </w:r>
          </w:p>
        </w:tc>
      </w:tr>
      <w:tr>
        <w:tc>
          <w:tcPr>
            <w:tcW w:type="dxa" w:w="831"/>
          </w:tcPr>
          <w:p>
            <w:pPr>
              <w:pStyle w:val="null3"/>
            </w:pPr>
            <w:r>
              <w:rPr/>
              <w:t>9</w:t>
            </w:r>
          </w:p>
        </w:tc>
        <w:tc>
          <w:tcPr>
            <w:tcW w:type="dxa" w:w="2492"/>
          </w:tcPr>
          <w:p>
            <w:pPr>
              <w:pStyle w:val="null3"/>
            </w:pPr>
            <w:r>
              <w:rPr/>
              <w:t>法定代表人身份证明或法定代表人授权委托书</w:t>
            </w:r>
          </w:p>
        </w:tc>
        <w:tc>
          <w:tcPr>
            <w:tcW w:type="dxa" w:w="3322"/>
          </w:tcPr>
          <w:p>
            <w:pPr>
              <w:pStyle w:val="null3"/>
            </w:pPr>
            <w:r>
              <w:rPr/>
              <w:t>法定代表人授权书（附法定代表人及被授权人身份证复印件）（如法定代表人直接投标只须提交法人身份证明并附身份证复印件）</w:t>
            </w:r>
          </w:p>
        </w:tc>
        <w:tc>
          <w:tcPr>
            <w:tcW w:type="dxa" w:w="1661"/>
          </w:tcPr>
          <w:p>
            <w:pPr>
              <w:pStyle w:val="null3"/>
            </w:pPr>
            <w:r>
              <w:rPr/>
              <w:t>供应商资格证明文件</w:t>
            </w:r>
          </w:p>
        </w:tc>
      </w:tr>
      <w:tr>
        <w:tc>
          <w:tcPr>
            <w:tcW w:type="dxa" w:w="831"/>
          </w:tcPr>
          <w:p>
            <w:pPr>
              <w:pStyle w:val="null3"/>
            </w:pPr>
            <w:r>
              <w:rPr/>
              <w:t>10</w:t>
            </w:r>
          </w:p>
        </w:tc>
        <w:tc>
          <w:tcPr>
            <w:tcW w:type="dxa" w:w="2492"/>
          </w:tcPr>
          <w:p>
            <w:pPr>
              <w:pStyle w:val="null3"/>
            </w:pPr>
            <w:r>
              <w:rPr/>
              <w:t>拟派项目负责人资质和专业要求</w:t>
            </w:r>
          </w:p>
        </w:tc>
        <w:tc>
          <w:tcPr>
            <w:tcW w:type="dxa" w:w="3322"/>
          </w:tcPr>
          <w:p>
            <w:pPr>
              <w:pStyle w:val="null3"/>
            </w:pPr>
            <w:r>
              <w:rPr/>
              <w:t>各投标供应商应设置专门的项目负责人</w:t>
            </w:r>
          </w:p>
        </w:tc>
        <w:tc>
          <w:tcPr>
            <w:tcW w:type="dxa" w:w="1661"/>
          </w:tcPr>
          <w:p>
            <w:pPr>
              <w:pStyle w:val="null3"/>
            </w:pPr>
            <w:r>
              <w:rPr/>
              <w:t>项目管理机构组成表 响应函</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（1）磋商响应文件的签署盖章：按磋商文件要 求相应位置加盖公章，法定代表人或其授权代 表人的签字齐全并加盖公章；（2）报价唯一： 只能有一个有效报价，不得提交选择性报价， 且报价不超过采购预算；</w:t>
            </w:r>
          </w:p>
        </w:tc>
        <w:tc>
          <w:tcPr>
            <w:tcW w:type="dxa" w:w="1661"/>
          </w:tcPr>
          <w:p>
            <w:pPr>
              <w:pStyle w:val="null3"/>
            </w:pPr>
            <w:r>
              <w:rPr/>
              <w:t>偏离表 已标价工程量清单 中小企业声明函 技术服务合同条款及其他商务要求应答表 其他投标人认为需要提供的资料 强制优先采购产品承诺函 响应文件封面 项目管理机构组成表 残疾人福利性单位声明函 报价函 标的清单 供应商类似项目业绩一览表 响应函 主要人员简历表 监狱企业的证明文件 供应商资格证明文件</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磋商响应文件内容：磋商响应文件内容齐全、无遗漏</w:t>
            </w:r>
          </w:p>
        </w:tc>
        <w:tc>
          <w:tcPr>
            <w:tcW w:type="dxa" w:w="1661"/>
          </w:tcPr>
          <w:p>
            <w:pPr>
              <w:pStyle w:val="null3"/>
            </w:pPr>
            <w:r>
              <w:rPr/>
              <w:t>响应文件封面 偏离表 已标价工程量清单 项目管理机构组成表 报价函 技术服务合同条款及其他商务要求应答表 标的清单 响应函 强制优先采购产品承诺函 供应商资格证明文件</w:t>
            </w:r>
          </w:p>
        </w:tc>
      </w:tr>
      <w:tr>
        <w:tc>
          <w:tcPr>
            <w:tcW w:type="dxa" w:w="831"/>
          </w:tcPr>
          <w:p>
            <w:pPr>
              <w:pStyle w:val="null3"/>
            </w:pPr>
            <w:r>
              <w:rPr/>
              <w:t>4</w:t>
            </w:r>
          </w:p>
        </w:tc>
        <w:tc>
          <w:tcPr>
            <w:tcW w:type="dxa" w:w="2492"/>
          </w:tcPr>
          <w:p>
            <w:pPr>
              <w:pStyle w:val="null3"/>
            </w:pPr>
            <w:r>
              <w:rPr/>
              <w:t>竞争性磋商响应文件的响应程度审查</w:t>
            </w:r>
          </w:p>
        </w:tc>
        <w:tc>
          <w:tcPr>
            <w:tcW w:type="dxa" w:w="3322"/>
          </w:tcPr>
          <w:p>
            <w:pPr>
              <w:pStyle w:val="null3"/>
            </w:pPr>
            <w:r>
              <w:rPr/>
              <w:t>（1）对磋商文件响应程度：要求全面响应，不能有任何采购人不能接受的附加条件；（2）拟提供的服务要求：应满足磋商文件提出的技术和服务要求。（3）磋商有效期：应满足磋商文件中的规定；（4）合同履行期限：应满足磋商文件中的规定</w:t>
            </w:r>
          </w:p>
        </w:tc>
        <w:tc>
          <w:tcPr>
            <w:tcW w:type="dxa" w:w="1661"/>
          </w:tcPr>
          <w:p>
            <w:pPr>
              <w:pStyle w:val="null3"/>
            </w:pPr>
            <w:r>
              <w:rPr/>
              <w:t>响应文件封面 偏离表 已标价工程量清单 项目管理机构组成表 报价函 技术服务合同条款及其他商务要求应答表 标的清单 其他投标人认为需要提供的资料 响应函 供应商资格证明文件</w:t>
            </w:r>
          </w:p>
        </w:tc>
      </w:tr>
    </w:tbl>
    <w:p>
      <w:pPr>
        <w:pStyle w:val="null3"/>
        <w:outlineLvl w:val="3"/>
      </w:pPr>
      <w:r>
        <w:rPr>
          <w:b/>
          <w:sz w:val="24"/>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b/>
          <w:sz w:val="24"/>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b/>
          <w:sz w:val="24"/>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b/>
          <w:sz w:val="24"/>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b/>
          <w:sz w:val="24"/>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b/>
          <w:sz w:val="28"/>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1.广场、花坛、绿篱保洁修剪施工方案详细、合理，满足项目需求得2-4分，不详细或不合理或可行性一般得0-2分； 2.行道树修剪打药施工方案详细、合理，满足项目需求得2-4分，不详细或不合理或可行性一般得0-2分； 3.林地管护打草及养护施工方案详细、合理，满足项目需求得2-4分，不详细或不合理或可行性一般得0-2分； 4.污水收集口维修施工方案详细、合理，满足项目需求得2-4分，不详细或不合理或可行性一般得0-2分； 5.雨水收集井清掏施工方案详细、合理，满足项目需求得2-4分，不详细或不合理或可行性一般得0-2分； 6.污水管道疏通施工方案详细、合理，满足项目需求得2-4分，不详细或不合理或可行性一般得0-2分； 7.排水等市政设施大中型维修施工方案详细、合理，满足项目需求得2-4分，不详细或不合理或可行性一般得0-2分。</w:t>
            </w:r>
          </w:p>
        </w:tc>
        <w:tc>
          <w:tcPr>
            <w:tcW w:type="dxa" w:w="831"/>
          </w:tcPr>
          <w:p>
            <w:pPr>
              <w:pStyle w:val="null3"/>
              <w:jc w:val="right"/>
            </w:pPr>
            <w:r>
              <w:rPr/>
              <w:t>28.00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偏离表</w:t>
            </w:r>
          </w:p>
          <w:p>
            <w:pPr>
              <w:pStyle w:val="null3"/>
            </w:pPr>
            <w:r>
              <w:rPr/>
              <w:t>其他投标人认为需要提供的资料</w:t>
            </w:r>
          </w:p>
          <w:p>
            <w:pPr>
              <w:pStyle w:val="null3"/>
            </w:pPr>
            <w:r>
              <w:rPr/>
              <w:t>技术方案</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针对本项目特点制定切实可行的质量控制目标和保证措施。内容完备、科学、合理、针对性强得4-8分；内容一般基本可行得1-4分；可行性不强或缺项得0-1分。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偏离表</w:t>
            </w:r>
          </w:p>
          <w:p>
            <w:pPr>
              <w:pStyle w:val="null3"/>
            </w:pPr>
            <w:r>
              <w:rPr/>
              <w:t>其他投标人认为需要提供的资料</w:t>
            </w:r>
          </w:p>
          <w:p>
            <w:pPr>
              <w:pStyle w:val="null3"/>
            </w:pPr>
            <w:r>
              <w:rPr/>
              <w:t>技术方案</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结合工程特点分析安全隐患，给出有针对性的安全生产保证措施，安全保证体系合理，满足国家、省市相关法规规定及采购文件要求。内容完备、科学、合理、针对性强得3-5 分；内容一般基本可行得1-3分；内容不全或不可行得0-1分。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技术方案</w:t>
            </w:r>
          </w:p>
          <w:p>
            <w:pPr>
              <w:pStyle w:val="null3"/>
            </w:pPr>
            <w:r>
              <w:rPr/>
              <w:t>偏离表</w:t>
            </w:r>
          </w:p>
          <w:p>
            <w:pPr>
              <w:pStyle w:val="null3"/>
            </w:pPr>
            <w:r>
              <w:rPr/>
              <w:t>其他投标人认为需要提供的资料</w:t>
            </w:r>
          </w:p>
        </w:tc>
      </w:tr>
      <w:tr>
        <w:tc>
          <w:tcPr>
            <w:tcW w:type="dxa" w:w="831"/>
            <w:vMerge/>
          </w:tcPr>
          <w:p/>
        </w:tc>
        <w:tc>
          <w:tcPr>
            <w:tcW w:type="dxa" w:w="1661"/>
          </w:tcPr>
          <w:p>
            <w:pPr>
              <w:pStyle w:val="null3"/>
            </w:pPr>
            <w:r>
              <w:rPr/>
              <w:t>确保文明施工的技术措施及环境保护措施</w:t>
            </w:r>
          </w:p>
        </w:tc>
        <w:tc>
          <w:tcPr>
            <w:tcW w:type="dxa" w:w="2492"/>
          </w:tcPr>
          <w:p>
            <w:pPr>
              <w:pStyle w:val="null3"/>
            </w:pPr>
            <w:r>
              <w:rPr/>
              <w:t>结合工程环境特点，给出有针对性的文明施工、环保施工、防尘降噪等保证措施。内容完备、科学、合理、针对性强得 2-3分；内容一般基本可行得1-2分，可行性不强或缺项得0-1分。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其他投标人认为需要提供的资料</w:t>
            </w:r>
          </w:p>
          <w:p>
            <w:pPr>
              <w:pStyle w:val="null3"/>
            </w:pPr>
            <w:r>
              <w:rPr/>
              <w:t>偏离表</w:t>
            </w:r>
          </w:p>
          <w:p>
            <w:pPr>
              <w:pStyle w:val="null3"/>
            </w:pPr>
            <w:r>
              <w:rPr/>
              <w:t>技术方案</w:t>
            </w:r>
          </w:p>
        </w:tc>
      </w:tr>
      <w:tr>
        <w:tc>
          <w:tcPr>
            <w:tcW w:type="dxa" w:w="831"/>
            <w:vMerge/>
          </w:tcPr>
          <w:p/>
        </w:tc>
        <w:tc>
          <w:tcPr>
            <w:tcW w:type="dxa" w:w="1661"/>
          </w:tcPr>
          <w:p>
            <w:pPr>
              <w:pStyle w:val="null3"/>
            </w:pPr>
            <w:r>
              <w:rPr/>
              <w:t>拟投入的机械设备、工具</w:t>
            </w:r>
          </w:p>
        </w:tc>
        <w:tc>
          <w:tcPr>
            <w:tcW w:type="dxa" w:w="2492"/>
          </w:tcPr>
          <w:p>
            <w:pPr>
              <w:pStyle w:val="null3"/>
            </w:pPr>
            <w:r>
              <w:rPr/>
              <w:t>供应商拟投入的设备、工具，种类、数量齐全、充足，配置方案合理，完全满足项目需求得4-6分；配备情况一般，基本满足需求得2-4分；配置方案较差，不能完全满足项目需求得0-2分。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技术方案</w:t>
            </w:r>
          </w:p>
          <w:p>
            <w:pPr>
              <w:pStyle w:val="null3"/>
            </w:pPr>
            <w:r>
              <w:rPr/>
              <w:t>偏离表</w:t>
            </w:r>
          </w:p>
          <w:p>
            <w:pPr>
              <w:pStyle w:val="null3"/>
            </w:pPr>
            <w:r>
              <w:rPr/>
              <w:t>其他投标人认为需要提供的资料</w:t>
            </w:r>
          </w:p>
        </w:tc>
      </w:tr>
      <w:tr>
        <w:tc>
          <w:tcPr>
            <w:tcW w:type="dxa" w:w="831"/>
            <w:vMerge/>
          </w:tcPr>
          <w:p/>
        </w:tc>
        <w:tc>
          <w:tcPr>
            <w:tcW w:type="dxa" w:w="1661"/>
          </w:tcPr>
          <w:p>
            <w:pPr>
              <w:pStyle w:val="null3"/>
            </w:pPr>
            <w:r>
              <w:rPr/>
              <w:t>劳动力安排计划</w:t>
            </w:r>
          </w:p>
        </w:tc>
        <w:tc>
          <w:tcPr>
            <w:tcW w:type="dxa" w:w="2492"/>
          </w:tcPr>
          <w:p>
            <w:pPr>
              <w:pStyle w:val="null3"/>
            </w:pPr>
            <w:r>
              <w:rPr/>
              <w:t>拟投入项目负责人及养护人员配备（写明拟投入的全部人数，主要人员明确姓名及相关信息等）。 工种、数量、劳动力水平配置合理，岗位职责、制度合理明确，满足项目需求得3-6分，工种、数量、水平配置不足或职责、制度不完善不能完全满足项目需求得0-3分；未提供不得分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项目管理机构组成表</w:t>
            </w:r>
          </w:p>
          <w:p>
            <w:pPr>
              <w:pStyle w:val="null3"/>
            </w:pPr>
            <w:r>
              <w:rPr/>
              <w:t>主要人员简历表</w:t>
            </w:r>
          </w:p>
          <w:p>
            <w:pPr>
              <w:pStyle w:val="null3"/>
            </w:pPr>
            <w:r>
              <w:rPr/>
              <w:t>偏离表</w:t>
            </w:r>
          </w:p>
          <w:p>
            <w:pPr>
              <w:pStyle w:val="null3"/>
            </w:pPr>
            <w:r>
              <w:rPr/>
              <w:t>其他投标人认为需要提供的资料</w:t>
            </w:r>
          </w:p>
          <w:p>
            <w:pPr>
              <w:pStyle w:val="null3"/>
            </w:pPr>
            <w:r>
              <w:rPr/>
              <w:t>技术方案</w:t>
            </w:r>
          </w:p>
        </w:tc>
      </w:tr>
      <w:tr>
        <w:tc>
          <w:tcPr>
            <w:tcW w:type="dxa" w:w="831"/>
            <w:vMerge/>
          </w:tcPr>
          <w:p/>
        </w:tc>
        <w:tc>
          <w:tcPr>
            <w:tcW w:type="dxa" w:w="1661"/>
          </w:tcPr>
          <w:p>
            <w:pPr>
              <w:pStyle w:val="null3"/>
            </w:pPr>
            <w:r>
              <w:rPr/>
              <w:t>合同、资料管理</w:t>
            </w:r>
          </w:p>
        </w:tc>
        <w:tc>
          <w:tcPr>
            <w:tcW w:type="dxa" w:w="2492"/>
          </w:tcPr>
          <w:p>
            <w:pPr>
              <w:pStyle w:val="null3"/>
            </w:pPr>
            <w:r>
              <w:rPr/>
              <w:t>投标人应对项目实施过程中所知悉的内容予以保密，有专门的人员负责相关合同、资料管理，相关制度详细、明确，合理有效得1-2分，不全面或不合理得0-1分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偏离表</w:t>
            </w:r>
          </w:p>
          <w:p>
            <w:pPr>
              <w:pStyle w:val="null3"/>
            </w:pPr>
            <w:r>
              <w:rPr/>
              <w:t>其他投标人认为需要提供的资料</w:t>
            </w:r>
          </w:p>
          <w:p>
            <w:pPr>
              <w:pStyle w:val="null3"/>
            </w:pPr>
            <w:r>
              <w:rPr/>
              <w:t>技术方案</w:t>
            </w:r>
          </w:p>
        </w:tc>
      </w:tr>
      <w:tr>
        <w:tc>
          <w:tcPr>
            <w:tcW w:type="dxa" w:w="831"/>
            <w:vMerge/>
          </w:tcPr>
          <w:p/>
        </w:tc>
        <w:tc>
          <w:tcPr>
            <w:tcW w:type="dxa" w:w="1661"/>
          </w:tcPr>
          <w:p>
            <w:pPr>
              <w:pStyle w:val="null3"/>
            </w:pPr>
            <w:r>
              <w:rPr/>
              <w:t>进度控制措施</w:t>
            </w:r>
          </w:p>
        </w:tc>
        <w:tc>
          <w:tcPr>
            <w:tcW w:type="dxa" w:w="2492"/>
          </w:tcPr>
          <w:p>
            <w:pPr>
              <w:pStyle w:val="null3"/>
            </w:pPr>
            <w:r>
              <w:rPr/>
              <w:t>具有详细的施工进度控制措施，能够有效合理安排工作进度，保证在采购人要求的时间内保质保量完成相应任务得2-4分，措施不完善或可行性不强得0-2分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技术方案</w:t>
            </w:r>
          </w:p>
          <w:p>
            <w:pPr>
              <w:pStyle w:val="null3"/>
            </w:pPr>
            <w:r>
              <w:rPr/>
              <w:t>偏离表</w:t>
            </w:r>
          </w:p>
          <w:p>
            <w:pPr>
              <w:pStyle w:val="null3"/>
            </w:pPr>
            <w:r>
              <w:rPr/>
              <w:t>其他投标人认为需要提供的资料</w:t>
            </w:r>
          </w:p>
        </w:tc>
      </w:tr>
      <w:tr>
        <w:tc>
          <w:tcPr>
            <w:tcW w:type="dxa" w:w="831"/>
            <w:vMerge/>
          </w:tcPr>
          <w:p/>
        </w:tc>
        <w:tc>
          <w:tcPr>
            <w:tcW w:type="dxa" w:w="1661"/>
          </w:tcPr>
          <w:p>
            <w:pPr>
              <w:pStyle w:val="null3"/>
            </w:pPr>
            <w:r>
              <w:rPr/>
              <w:t>防灾应急预案</w:t>
            </w:r>
          </w:p>
        </w:tc>
        <w:tc>
          <w:tcPr>
            <w:tcW w:type="dxa" w:w="2492"/>
          </w:tcPr>
          <w:p>
            <w:pPr>
              <w:pStyle w:val="null3"/>
            </w:pPr>
            <w:r>
              <w:rPr/>
              <w:t>针对本项目服务过程中可能出现的紧急事件、防灾应急、突发情况等制定相应的应急预案措施、 处置方案及重要活动保障方案。方案系统、完整、可操作性强计2-4分；方案不全或应对措施不得力得0-2分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其他投标人认为需要提供的资料</w:t>
            </w:r>
          </w:p>
          <w:p>
            <w:pPr>
              <w:pStyle w:val="null3"/>
            </w:pPr>
            <w:r>
              <w:rPr/>
              <w:t>技术方案</w:t>
            </w:r>
          </w:p>
        </w:tc>
      </w:tr>
      <w:tr>
        <w:tc>
          <w:tcPr>
            <w:tcW w:type="dxa" w:w="831"/>
            <w:vMerge/>
          </w:tcPr>
          <w:p/>
        </w:tc>
        <w:tc>
          <w:tcPr>
            <w:tcW w:type="dxa" w:w="1661"/>
          </w:tcPr>
          <w:p>
            <w:pPr>
              <w:pStyle w:val="null3"/>
            </w:pPr>
            <w:r>
              <w:rPr/>
              <w:t>业绩</w:t>
            </w:r>
          </w:p>
        </w:tc>
        <w:tc>
          <w:tcPr>
            <w:tcW w:type="dxa" w:w="2492"/>
          </w:tcPr>
          <w:p>
            <w:pPr>
              <w:pStyle w:val="null3"/>
            </w:pPr>
            <w:r>
              <w:rPr/>
              <w:t>具有近三年（2021年03月1日至今）类似项目业绩（以合同复印件或扫描件为准，时间以合同签订时间为准），每提供1份得2分，本项满分4分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其他投标人认为需要提供的资料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采购文件要求且报价最低的投标人的价格为评标基准价，其价格分为满分。其他投标人的价格分统一按照下列公式计算：报价得分=（评标基准价/投标报价）×价格权值（即30%）×100（保留小数点后两位，小数点后第三位“四舍五入”）</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详见附件：供应商资格证明文件</w:t>
      </w:r>
    </w:p>
    <w:p>
      <w:pPr>
        <w:pStyle w:val="null3"/>
        <w:ind w:firstLine="960"/>
      </w:pPr>
      <w:r>
        <w:rPr/>
        <w:t>详见附件：偏离表</w:t>
      </w:r>
    </w:p>
    <w:p>
      <w:pPr>
        <w:pStyle w:val="null3"/>
        <w:ind w:firstLine="960"/>
      </w:pPr>
      <w:r>
        <w:rPr/>
        <w:t>详见附件：其他投标人认为需要提供的资料</w:t>
      </w:r>
    </w:p>
    <w:p>
      <w:pPr>
        <w:pStyle w:val="null3"/>
        <w:ind w:firstLine="960"/>
      </w:pPr>
      <w:r>
        <w:rPr/>
        <w:t>详见附件：技术方案</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