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版本号：[采]字T2025036号20251012001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王家河街道办事处2025年度中央村级公益事业“一事一议”财政奖补项目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[采]字T2025036号</w:t>
      </w:r>
      <w:r>
        <w:br/>
      </w:r>
      <w:r>
        <w:br/>
      </w:r>
      <w:r>
        <w:br/>
      </w:r>
    </w:p>
    <w:p>
      <w:pPr>
        <w:pStyle w:val="null3"/>
        <w:jc w:val="center"/>
        <w:outlineLvl w:val="2"/>
      </w:pPr>
      <w:r>
        <w:rPr>
          <w:rFonts w:ascii="仿宋_GB2312" w:hAnsi="仿宋_GB2312" w:cs="仿宋_GB2312" w:eastAsia="仿宋_GB2312"/>
          <w:sz w:val="28"/>
          <w:b/>
        </w:rPr>
        <w:t>铜川市王益区王家河街道办事处</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铜川市王益区王家河街道办事处</w:t>
      </w:r>
      <w:r>
        <w:rPr>
          <w:rFonts w:ascii="仿宋_GB2312" w:hAnsi="仿宋_GB2312" w:cs="仿宋_GB2312" w:eastAsia="仿宋_GB2312"/>
        </w:rPr>
        <w:t>委托，拟对</w:t>
      </w:r>
      <w:r>
        <w:rPr>
          <w:rFonts w:ascii="仿宋_GB2312" w:hAnsi="仿宋_GB2312" w:cs="仿宋_GB2312" w:eastAsia="仿宋_GB2312"/>
        </w:rPr>
        <w:t>王家河街道办事处2025年度中央村级公益事业“一事一议”财政奖补项目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[采]字T2025036号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王家河街道办事处2025年度中央村级公益事业“一事一议”财政奖补项目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包含王家河街道办赵家塬村赵家塬组排水渠建设项目、王家河街道办常家河村周家河组亮化项目、王家河街道办南雷村南雷组巷道路硬化项目、王家河街道办赵家塬村南咀组亮化工程项目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采购包1（王家河街道办事处2025年度中央村级公益事业“一事一议“财政奖补项目）：属于专门面向中小企业采购。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4、项目经理具备建筑工程专业二级（或以上）注册建造师资格及有效的安全生产考核合格证（B证），且无在建工程 （提供承诺书）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8、供应商不得为“信用中国”网站（www.creditchina.gov.cn）失信被执行人、重大税收违法案件当事人名单 及“中国政府采购网”（www.ccgp.gov.cn/）政府采购严重失信行为记录名单； 9、本项目不接受联合体磋商。（提供承诺书）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铜川市王益区王家河街道办事处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王家河北路44号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铜川市王益区王家河街道办事处经办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18691948935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陕西省西安市市本级西安经济技术开发区草滩十路999号智巢创新空间E座5层北区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采购包1：888,622.91元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铜川市王益区王家河街道办事处</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铜川市王益区王家河街道办事处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铜川市王益区王家河街道办事处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地址：陕西省西安市市本级西安经济技术开发区草滩十路999号智巢创新空间E座5层北区</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888,622.91</w:t>
      </w:r>
    </w:p>
    <w:p>
      <w:pPr>
        <w:pStyle w:val="null3"/>
      </w:pPr>
      <w:r>
        <w:rPr>
          <w:rFonts w:ascii="仿宋_GB2312" w:hAnsi="仿宋_GB2312" w:cs="仿宋_GB2312" w:eastAsia="仿宋_GB2312"/>
        </w:rPr>
        <w:t>采购包最高限价（元）: 888,622.91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王家河街道办赵家塬村赵家塬组排水渠建设项目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189,941.48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王家河街道办常家河村周家河组亮化项目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219,076.00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王家河街道办南雷村南雷组巷道路硬化项目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279,794.54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4</w:t>
            </w:r>
          </w:p>
        </w:tc>
        <w:tc>
          <w:tcPr>
            <w:tcW w:type="dxa" w:w="1384"/>
          </w:tcPr>
          <w:p>
            <w:pPr>
              <w:pStyle w:val="null3"/>
            </w:pPr>
            <w:r>
              <w:rPr>
                <w:rFonts w:ascii="仿宋_GB2312" w:hAnsi="仿宋_GB2312" w:cs="仿宋_GB2312" w:eastAsia="仿宋_GB2312"/>
              </w:rPr>
              <w:t>王家河街道办赵家塬村南咀组亮化工程项目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199,810.89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标的名称：王家河街道办赵家塬村赵家塬组排水渠建设项目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王家河街道办赵家塬村赵家塬组排水渠建设项目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王家河街道办赵家塬村赵家塬组排水渠建设项目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5、项目计划工期：40日历天。</w:t>
            </w:r>
          </w:p>
        </w:tc>
      </w:tr>
    </w:tbl>
    <w:p>
      <w:pPr>
        <w:pStyle w:val="null3"/>
      </w:pPr>
      <w:r>
        <w:rPr>
          <w:rFonts w:ascii="仿宋_GB2312" w:hAnsi="仿宋_GB2312" w:cs="仿宋_GB2312" w:eastAsia="仿宋_GB2312"/>
        </w:rPr>
        <w:t>标的名称：王家河街道办常家河村周家河组亮化项目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王家河街道办常家河村周家河组亮化项目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王家河街道办常家河村周家河组亮化项目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5、项目计划工期：40日历天。</w:t>
            </w:r>
          </w:p>
        </w:tc>
      </w:tr>
    </w:tbl>
    <w:p>
      <w:pPr>
        <w:pStyle w:val="null3"/>
      </w:pPr>
      <w:r>
        <w:rPr>
          <w:rFonts w:ascii="仿宋_GB2312" w:hAnsi="仿宋_GB2312" w:cs="仿宋_GB2312" w:eastAsia="仿宋_GB2312"/>
        </w:rPr>
        <w:t>标的名称：王家河街道办南雷村南雷组巷道路硬化项目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王家河街道办南雷村南雷组巷道路硬化项目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王家河街道办南雷村南雷组巷道路硬化项目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5、项目计划工期：40日历天。</w:t>
            </w:r>
          </w:p>
        </w:tc>
      </w:tr>
    </w:tbl>
    <w:p>
      <w:pPr>
        <w:pStyle w:val="null3"/>
      </w:pPr>
      <w:r>
        <w:rPr>
          <w:rFonts w:ascii="仿宋_GB2312" w:hAnsi="仿宋_GB2312" w:cs="仿宋_GB2312" w:eastAsia="仿宋_GB2312"/>
        </w:rPr>
        <w:t>标的名称：王家河街道办赵家塬村南咀组亮化工程项目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王家河街道办赵家塬村南咀组亮化工程项目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王家河街道办赵家塬村南咀组亮化工程项目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在合同工期内，因下列原因造成工期延误的，承包人有权提出工期顺延申请，经发包人和监理人按合同约定审核确认后，竣工日期相应顺延： 1 、发包人原因： （1）发包人未能按合同约定提供图纸或所提供图纸不符合约定； （2）发包人未能按合同约定提供施工现场、施工条件、基础资料、许可、批准等； （3）发包人提供的测量基准点、基准线和水准点及其书面资料存在错误或疏漏； （4）发包人提出设计变更，导致工程量增加或施工顺序被打乱； （5）发包人指令错误或迟延。 2 、不可抗力： （1）定义：指合同双方在签订合同时不可预见，在合同履行过程中不可避免发生并不能克服的自然灾害和社会性突发事件（如地震、海啸、瘟疫、骚乱、戒严、暴动、战争等），以及专用合同条款中约定的其他情形。 （2）后果承担：因不可抗力事件导致工期延误的，竣工日期应当予以顺延。承包人应立即通知发包人和监理人，并在事后提供官方证明文件（如气象灾害证明、政府管制通知等）。 3、 异常恶劣的气候条件： 因出现专用合同条款约定的异常恶劣的气候条件（如超出当地历史统计规律的持续性暴雨、超强台风、极端高温等）导致工程无法施工的，工期应予以顺延。承包人应负责证明该气候条件的“异常性”（通常需提供与历史同期数据的对比）。 4 、政府行为或公共问题： （1）因政府政策变化、征收、征用、行业禁令等导致工程延误； （2）因非承包人责任的公共突发事件（如公共卫生事件）导致工程中断。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4、项目经理具备建筑工程专业二级（或以上）注册建造师资格及有效的安全生产考核合格证（B证），且无在建工程 （提供承诺书）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8、供应商不得为“信用中国”网站（www.creditchina.gov.cn）失信被执行人、重大税收违法案件当事人名单 及“中国政府采购网”（www.ccgp.gov.cn/）政府采购严重失信行为记录名单； 9、本项目不接受联合体磋商。（提供承诺书）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供应商资格要求.docx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从递交响应文件的截止之日起算不少于90个日历天。</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 6.1-8 分;措施较完善，有一定的逻辑性、针对性、 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 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能够结合项目特点制定可实施的详尽方案，包括主要工作内容、实施步骤、实施计划和做法的科学性、全面性、合理性，方案较完善，逻辑性、针对性强得 6.1-8 分，可行性方案完整且具有一定的针对行、可行性得 4.1-6 分；内容基本合理，基本可行得 2.1-4 分，方案针对性一般得 2 分；方案内容缺失、方案针对性较差得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项目部人员配备合理、分工科学、专业知识构架全面、岗位职责明确，得 6.1-8 分； 项目部人员配备较合理、分工较科学、岗位职责明确，得 4.1-6 分； 项目部人员配备基本合理、分工基本科学、岗位职责明确，得 2.1-4 分；项目部人员配备合理性一般、分工明确，得 2 分 项目部人员配备不合理，得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主要机械设备配置和材料投入能满足施工需要，根据本项目实际情况材料设备配套齐全、合理的计 6.1-8 分；主要机械设备配置和材料投入能满足施工需要，根据本项目实际情况材料设备配套较齐全、较合理的计 4.1-6 分；主要机械设备配置和材料投入能满足施工需要，根据本项目实际情况材料设备配套不齐全、不合理的计 0.1-4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缺陷责任期内及期外的服务措施</w:t>
            </w:r>
          </w:p>
        </w:tc>
        <w:tc>
          <w:tcPr>
            <w:tcW w:type="dxa" w:w="2492"/>
          </w:tcPr>
          <w:p>
            <w:pPr>
              <w:pStyle w:val="null3"/>
            </w:pPr>
            <w:r>
              <w:rPr>
                <w:rFonts w:ascii="仿宋_GB2312" w:hAnsi="仿宋_GB2312" w:cs="仿宋_GB2312" w:eastAsia="仿宋_GB2312"/>
              </w:rPr>
              <w:t>具有缺陷责任期内及期外的承诺及保证措施，技术服务的承诺等，具有较好的科学性和可行性，可行和合理得 5-8分，一般得 1-4分；未提供不得分。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近三年（2022年10月至今）来已完成类似项目业绩，每提供1个类似业绩证明材料得2分，最多得 6分。未提供不得分。 注：1. 业绩以投标文件中所附合同复印件为准。提供的证明材料均不得遮挡涂黑，否则不予认定加分。 2. 业绩须提供相关的合同，至少包含关键页：签订合同双方的单位名称、合同项目名称、签订合同方的落款盖章、签订日期的关键页)复印件加盖公章，业绩时间以合同签订时间为准)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响应单位的价格分统一按照下列公式计算：磋商报价得分=(磋商基准价／磋商最终报价)×价格权值×100（计算分数时四舍五入取小数点后两位）。磋商小组三分之二以上人员认为某投标报价有低于成本价嫌疑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