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版本号：SYTH-ZFCG-2025-06020251018001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铜川市王益区2025年度高素质农民培育项目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SYTH-ZFCG-2025-060</w:t>
      </w:r>
      <w:r>
        <w:br/>
      </w:r>
      <w:r>
        <w:br/>
      </w:r>
      <w:r>
        <w:br/>
      </w:r>
    </w:p>
    <w:p>
      <w:pPr>
        <w:pStyle w:val="null3"/>
        <w:jc w:val="center"/>
        <w:outlineLvl w:val="2"/>
      </w:pPr>
      <w:r>
        <w:rPr>
          <w:rFonts w:ascii="仿宋_GB2312" w:hAnsi="仿宋_GB2312" w:cs="仿宋_GB2312" w:eastAsia="仿宋_GB2312"/>
          <w:sz w:val="28"/>
          <w:b/>
        </w:rPr>
        <w:t>铜川市王益区农业技术推广中心</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铜川市王益区农业技术推广中心</w:t>
      </w:r>
      <w:r>
        <w:rPr>
          <w:rFonts w:ascii="仿宋_GB2312" w:hAnsi="仿宋_GB2312" w:cs="仿宋_GB2312" w:eastAsia="仿宋_GB2312"/>
        </w:rPr>
        <w:t>委托，拟对</w:t>
      </w:r>
      <w:r>
        <w:rPr>
          <w:rFonts w:ascii="仿宋_GB2312" w:hAnsi="仿宋_GB2312" w:cs="仿宋_GB2312" w:eastAsia="仿宋_GB2312"/>
        </w:rPr>
        <w:t>铜川市王益区2025年度高素质农民培育项目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SYTH-ZFCG-2025-060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铜川市王益区2025年度高素质农民培育项目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本项目需采购培训教材、培训师资、培训食宿、实训实习以及其他。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采购包1（铜川市王益区2025年度高素质农民培育项目）：属于专门面向中小企业采购。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7、非联合体磋商：提供非联合体磋商声明；供应商需在项目电子化交易系统中按要求上传相应证明文件并进行电子签章。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铜川市王益区健康路16号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18590983686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铜川市王益区农业技术推广中心</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本项目需采购培训教材、培训师资、培训食宿、实训实习以及其他。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铜川市王益区2025年度高素质农民培育课程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标的名称：铜川市王益区2025年度高素质农民培育课程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本项目共包含2个培训班，每个培训班50人，按照综合素养课不低于总学时的10%,专业技能课不低于总学时的70%,能力拓展课不高于总学时的 20%,线上学习不高于总学时的15%进行课程设置，每个培训班设置92学时（不含报到、返程时间），其中：综合素养课8学时，专业技能课56学时，能力拓展课16学时，线上学习12学时。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针对本项目配备专业的技术人员和相关的服务人员，确保项目顺利实施。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针对本项目配备专业的设施设备，设施设备齐全，确保项目顺利实施。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所有投标供应商须满足农社综函【2025】15号文件及附件1、附件2所有要求内容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待项目进度实施至50%</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3）服务期：服务期限为一年，具体起始时间由甲方确定（4）服务地点：采购人指定地点；（5）磋商有效期 ：应满足磋商文件中的规定。</w:t>
            </w:r>
          </w:p>
        </w:tc>
        <w:tc>
          <w:tcPr>
            <w:tcW w:type="dxa" w:w="1661"/>
          </w:tcPr>
          <w:p>
            <w:pPr>
              <w:pStyle w:val="null3"/>
            </w:pPr>
            <w:r>
              <w:rPr>
                <w:rFonts w:ascii="仿宋_GB2312" w:hAnsi="仿宋_GB2312" w:cs="仿宋_GB2312" w:eastAsia="仿宋_GB2312"/>
              </w:rPr>
              <w:t>服务内容及服务邀请应答表 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经过有效性和符合性审核合格的投标人，其商务应答完全响应招标文件商务要求的计6分。优于招标文件要求的每项另计1分，最多加2分。不完全响应的计0分。（招标文件商务要求为最低要求，不得负偏离）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评审标准：各部分内容全面详细、阐述条理清晰详尽、符合本项目采购需求，能保障本项目实施得10分；评审内容每缺一项扣1分，评审内容有缺陷未完全响应评审标准的每有一项缺陷扣0.5分，扣完为止。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供应商需提供在有效期内的企业信用等级证书、质量服务信誉单位证书，每提供一份证书，得1分，最多得2分，不提供或提供无效证书者得0分。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评审内容：供应商针对本次培训制定进度计划方案，内容包括：①项目实施②工作内容安排③进度保障措施。 评审标准：各部分内容全面详细、阐述条理清晰详尽、符合本项目采购需求，能保障本项目实施得10分；评审内容第①②项每缺一项扣3分，评审内容有缺陷未完全响应评审标准的每有一项缺陷扣0.5分，扣完为止；评审内容缺第③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 评审标准：各部分内容全面详细、阐述条理清晰详尽、符合本项目采购需求，能保障本项目实施得12分；评审内容缺第①项扣4分，评审内容有缺陷未完全响应评审标准的每有一项缺陷扣0.5分，扣完为止；评审内容缺第②③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各部分内容全面详细、阐述条理清晰详尽、符合本项目采购需求，能保障本项目实施得6分；评审内容每缺一项扣2分，评审内容有缺陷未完全响应评审标准的每有一项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