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版本号：SXBH-ZFCG-2025-10220251020001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陕西省课改名校战略深化项目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SXBH-ZFCG-2025-102</w:t>
      </w:r>
      <w:r>
        <w:br/>
      </w:r>
      <w:r>
        <w:br/>
      </w:r>
      <w:r>
        <w:br/>
      </w:r>
    </w:p>
    <w:p>
      <w:pPr>
        <w:pStyle w:val="null3"/>
        <w:jc w:val="center"/>
        <w:outlineLvl w:val="5"/>
      </w:pPr>
      <w:r>
        <w:rPr>
          <w:rFonts w:ascii="仿宋_GB2312" w:hAnsi="仿宋_GB2312" w:cs="仿宋_GB2312" w:eastAsia="仿宋_GB2312"/>
          <w:sz w:val="15"/>
          <w:b/>
        </w:rPr>
        <w:t>铜川市七一路小学</w:t>
      </w:r>
    </w:p>
    <w:p>
      <w:pPr>
        <w:pStyle w:val="null3"/>
        <w:jc w:val="center"/>
        <w:outlineLvl w:val="5"/>
      </w:pPr>
      <w:r>
        <w:rPr>
          <w:rFonts w:ascii="仿宋_GB2312" w:hAnsi="仿宋_GB2312" w:cs="仿宋_GB2312" w:eastAsia="仿宋_GB2312"/>
          <w:sz w:val="15"/>
          <w:b/>
        </w:rPr>
        <w:t>陕西北衡全项目咨询有限公司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铜川市七一路小学</w:t>
      </w:r>
      <w:r>
        <w:rPr>
          <w:rFonts w:ascii="仿宋_GB2312" w:hAnsi="仿宋_GB2312" w:cs="仿宋_GB2312" w:eastAsia="仿宋_GB2312"/>
        </w:rPr>
        <w:t>委托，拟对</w:t>
      </w:r>
      <w:r>
        <w:rPr>
          <w:rFonts w:ascii="仿宋_GB2312" w:hAnsi="仿宋_GB2312" w:cs="仿宋_GB2312" w:eastAsia="仿宋_GB2312"/>
        </w:rPr>
        <w:t>陕西省课改名校战略深化项目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SXBH-ZFCG-2025-102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陕西省课改名校战略深化项目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陕西省课改名校战略深化</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采购包1（陕西省课改名校战略深化项目）：属于专门面向小微企业采购。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1、营业执照：提供有效存续的企业营业执照（副本）/事业单位法人证书/专业服务机构执业许可证/民办非企业单位登记证书（以上四种形式的资料提供任何一种即可），自然人提供身份证；</w:t>
      </w:r>
    </w:p>
    <w:p>
      <w:pPr>
        <w:pStyle w:val="null3"/>
      </w:pPr>
      <w:r>
        <w:rPr>
          <w:rFonts w:ascii="仿宋_GB2312" w:hAnsi="仿宋_GB2312" w:cs="仿宋_GB2312" w:eastAsia="仿宋_GB2312"/>
        </w:rPr>
        <w:t>2、具有良好的商业信誉：具有良好的商业信誉：供应商不得为“信用中国(http://www.creditchina.gov.cn)”信息公示中列入重大税收违法失信主体名单、严重失信主体名单及专项查询中政府采购严重违法失信行为记录名单查询的供应商；不得在“中国执行信息公开网(http://zxgk.court.gov.cn)”被列为失信被执行人；不得为 “中国政府采购网(www.ccgp.gov.cn) ”政府采购严重违法失信行为记录名单中被财政部门禁止参加政府采购活动的供应商；供应商为企业的，不得被列入“国家企业信用信息公示系统(http://www.gsxt.gov.cn/index.html)”行政处罚信息、经营异常名录信息及严重违法失信名单，除公司外其他主体不要求此条内容查询；</w:t>
      </w:r>
    </w:p>
    <w:p>
      <w:pPr>
        <w:pStyle w:val="null3"/>
      </w:pPr>
      <w:r>
        <w:rPr>
          <w:rFonts w:ascii="仿宋_GB2312" w:hAnsi="仿宋_GB2312" w:cs="仿宋_GB2312" w:eastAsia="仿宋_GB2312"/>
        </w:rPr>
        <w:t>3、具有履行合同所必需的设备和专业技术能力：具有履行合同所必需的设备和专业技术能力（提供声明）；</w:t>
      </w:r>
    </w:p>
    <w:p>
      <w:pPr>
        <w:pStyle w:val="null3"/>
      </w:pPr>
      <w:r>
        <w:rPr>
          <w:rFonts w:ascii="仿宋_GB2312" w:hAnsi="仿宋_GB2312" w:cs="仿宋_GB2312" w:eastAsia="仿宋_GB2312"/>
        </w:rPr>
        <w:t>4、参加本次政府采购活动前3年内在经营活动中没有重大违法记录或被起诉：参加本次政府采购活动前3年内在经营活动中没有重大违法记录或被起诉（提供声明）；</w:t>
      </w:r>
    </w:p>
    <w:p>
      <w:pPr>
        <w:pStyle w:val="null3"/>
      </w:pPr>
      <w:r>
        <w:rPr>
          <w:rFonts w:ascii="仿宋_GB2312" w:hAnsi="仿宋_GB2312" w:cs="仿宋_GB2312" w:eastAsia="仿宋_GB2312"/>
        </w:rPr>
        <w:t>5、法定代表人证明书或法定代表人授权书：法定代表人参加协商的，须提供法定代表人证明书及本人身份证复印件；法定代表人授权他人参加协商的，须提供法定代表人授权委托书及授权人身份证复印件。凡是需要法定代表人签字盖章之处，非法人单位的负责人均参照执行；</w:t>
      </w:r>
    </w:p>
    <w:p>
      <w:pPr>
        <w:pStyle w:val="null3"/>
      </w:pPr>
      <w:r>
        <w:rPr>
          <w:rFonts w:ascii="仿宋_GB2312" w:hAnsi="仿宋_GB2312" w:cs="仿宋_GB2312" w:eastAsia="仿宋_GB2312"/>
        </w:rPr>
        <w:t>6、有依法缴纳社会保障资金的良好记录：提供协商截止日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有依法缴纳税收的良好记录：提供协商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铜川市七一路小学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铜川市王益区七一路21号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铜川市七一路小学经办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15353225693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刘瑞华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17691172318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铜川市七一路小学</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铜川市七一路小学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陕西省课改名校战略深化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陕西省课改名校战略深化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标的名称：陕西省课改名校战略深化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1、基于国家基础教育课程改革建设的研究，构建新的教与学行为和学生学习方式的深刻变化新气象。</w:t>
            </w:r>
          </w:p>
          <w:p>
            <w:pPr>
              <w:pStyle w:val="null3"/>
              <w:ind w:firstLine="480"/>
              <w:jc w:val="both"/>
            </w:pPr>
            <w:r>
              <w:rPr>
                <w:rFonts w:ascii="仿宋_GB2312" w:hAnsi="仿宋_GB2312" w:cs="仿宋_GB2312" w:eastAsia="仿宋_GB2312"/>
                <w:sz w:val="24"/>
              </w:rPr>
              <w:t>2、陕西省课改名校战略：（1）基于国家基础教育课程改革高质量发展高效课堂的构建研究，组织专家团队，联合课改名校，在第一阶段指导培训的基础上，通过 “走出去”“请进来”的方式，持续对七一路小学开展自主管理提升指导培训、课堂教学改革强化培训、加强学校班级文化和学校文化体系建设，促进教师队伍素质提升。（2）名师专家引领指导自主管理体系建设、进一步提升课堂教学改革方式方法、提升学生学习能力、构建具有特色的学校自主管理体系和校园文化，提高学校教育教学质量。（3）通过全面细致、系统完善的培训指导，使七一路小学形成特色鲜明的课堂教学改革名校，在全国课改界有一定影响，能发挥示范引领作用。</w:t>
            </w:r>
          </w:p>
          <w:p>
            <w:pPr>
              <w:pStyle w:val="null3"/>
              <w:jc w:val="both"/>
            </w:pPr>
            <w:r>
              <w:rPr>
                <w:rFonts w:ascii="仿宋_GB2312" w:hAnsi="仿宋_GB2312" w:cs="仿宋_GB2312" w:eastAsia="仿宋_GB2312"/>
                <w:sz w:val="24"/>
              </w:rPr>
              <w:t>3、陕西省课改名校战略：指导七一路小学形成自己的课改文化，编辑出版发行课改相关书籍。</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供应商自备专业人员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供应商自备专业设备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健全的财务会计制度：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和财务情况说明书，或提交响应文件前六个月内其基本存款账户开户银行出具的资信证明，或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具有良好的商业信誉：供应商不得为“信用中国(http://www.creditchina.gov.cn)”信息公示中列入重大税收违法失信主体名单、严重失信主体名单及专项查询中政府采购严重违法失信行为记录名单查询的供应商；不得在“中国执行信息公开网(http://zxgk.court.gov.cn)”被列为失信被执行人；不得为 “中国政府采购网(www.ccgp.gov.cn) ”政府采购严重违法失信行为记录名单中被财政部门禁止参加政府采购活动的供应商；供应商为企业的，不得被列入“国家企业信用信息公示系统(http://www.gsxt.gov.cn/index.html)”行政处罚信息、经营异常名录信息及严重违法失信名单，除公司外其他主体不要求此条内容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协商的，须提供法定代表人证明书及本人身份证复印件；法定代表人授权他人参加协商的，须提供法定代表人授权委托书及授权人身份证复印件。凡是需要法定代表人签字盖章之处，非法人单位的负责人均参照执行；</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提供协商截止日前近一年内已缴存的至少一个月的社会保障资金缴存单据或社保机构开具的社会保险参保缴费情况证明。依法不需要缴纳社会保障资金的单位应提供相关证明材料；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协商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投标人按照协商文件要求上传响应文件</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评审委员会认为供应商响应报价明显低于其他通过符合性审查供应商的响应报价，有可能影响产品质量或者不能诚信履约的，评审委员会应当要求其在合理的时间内在项目电子化交易系统中上传说明材料，必要时提交相关证明材料。供应商提交的相关证明材料，应当加盖供应商（法定名称）电子印章，在评审委员会要求的时间内通过项目电子化交易系统进行提交，否则提交的相关证明材料无效。供应商不能证明其响应报价合理性的，评审委员会应当将其投标文件作为无效处理。</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投标人按照协商文件要求上传投标文件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协商文件的规定和要求在响应文件中指定的页面落款处加盖公章或由法定代表人或被授权人签名（或盖章），其余页面逐页盖公章，否则将作为无效投标文件处理。协商文件凡是要求法定代表人签名或盖章之处 ，非法人单位的负责人均参照执行。</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服务期不得少于一年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A、供应商的响应报价有选择性报价或者响应报价重新计算后超过本项目预算或者最高限价的； B、供应商未经过正常渠道领取协商文件，或供应商名称与领取文件时登记的供应商名称不符的；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I、实质性内容不满足、未完全未响应招标要求或擅自改动技术要求的； G、响应文件的关键内容或字迹模糊、无法辨认的； K、不符合法律、法规规定的其它实质性要求的。</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