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B50305">
      <w:pPr>
        <w:spacing w:before="62" w:line="220" w:lineRule="auto"/>
        <w:ind w:left="2893"/>
        <w:outlineLvl w:val="1"/>
        <w:rPr>
          <w:rFonts w:ascii="宋体" w:hAnsi="宋体" w:cs="宋体"/>
          <w:b/>
          <w:bCs/>
          <w:color w:val="auto"/>
          <w:sz w:val="31"/>
          <w:szCs w:val="31"/>
          <w:highlight w:val="none"/>
        </w:rPr>
      </w:pPr>
      <w:r>
        <w:rPr>
          <w:rFonts w:ascii="宋体" w:hAnsi="宋体" w:cs="宋体"/>
          <w:b/>
          <w:bCs/>
          <w:color w:val="auto"/>
          <w:spacing w:val="7"/>
          <w:sz w:val="31"/>
          <w:szCs w:val="31"/>
          <w:highlight w:val="none"/>
        </w:rPr>
        <w:t>第</w:t>
      </w:r>
      <w:r>
        <w:rPr>
          <w:rFonts w:hint="eastAsia" w:ascii="宋体" w:hAnsi="宋体" w:cs="宋体"/>
          <w:b/>
          <w:bCs/>
          <w:color w:val="auto"/>
          <w:spacing w:val="7"/>
          <w:sz w:val="31"/>
          <w:szCs w:val="31"/>
          <w:highlight w:val="none"/>
        </w:rPr>
        <w:t>八</w:t>
      </w:r>
      <w:r>
        <w:rPr>
          <w:rFonts w:ascii="宋体" w:hAnsi="宋体" w:cs="宋体"/>
          <w:b/>
          <w:bCs/>
          <w:color w:val="auto"/>
          <w:spacing w:val="7"/>
          <w:sz w:val="31"/>
          <w:szCs w:val="31"/>
          <w:highlight w:val="none"/>
        </w:rPr>
        <w:t>章 拟签订采购合同文本</w:t>
      </w:r>
    </w:p>
    <w:p w14:paraId="4F142A38">
      <w:pPr>
        <w:spacing w:line="440" w:lineRule="exact"/>
        <w:ind w:firstLine="419"/>
        <w:jc w:val="center"/>
        <w:rPr>
          <w:rFonts w:hint="eastAsia" w:ascii="宋体" w:hAnsi="宋体" w:eastAsia="宋体" w:cs="宋体"/>
          <w:sz w:val="28"/>
          <w:szCs w:val="28"/>
          <w:highlight w:val="none"/>
        </w:rPr>
      </w:pPr>
      <w:r>
        <w:rPr>
          <w:rFonts w:hint="eastAsia" w:ascii="宋体" w:hAnsi="宋体" w:eastAsia="宋体" w:cs="宋体"/>
          <w:sz w:val="28"/>
          <w:szCs w:val="28"/>
          <w:highlight w:val="none"/>
        </w:rPr>
        <w:t>（本合同为合同样稿，最终稿由双方协商后确定）</w:t>
      </w:r>
    </w:p>
    <w:p w14:paraId="7BFA3982">
      <w:pPr>
        <w:autoSpaceDE w:val="0"/>
        <w:autoSpaceDN w:val="0"/>
        <w:adjustRightInd w:val="0"/>
        <w:snapToGrid w:val="0"/>
        <w:spacing w:line="520" w:lineRule="exact"/>
        <w:ind w:firstLine="548" w:firstLineChars="196"/>
        <w:rPr>
          <w:rFonts w:hint="eastAsia" w:ascii="宋体" w:hAnsi="宋体" w:eastAsia="宋体" w:cs="宋体"/>
          <w:sz w:val="28"/>
          <w:szCs w:val="28"/>
          <w:highlight w:val="none"/>
          <w:lang w:val="zh-CN"/>
        </w:rPr>
      </w:pPr>
    </w:p>
    <w:p w14:paraId="4FC8566E">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甲方：</w:t>
      </w:r>
    </w:p>
    <w:p w14:paraId="6FC0D7D2">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乙方：（成交单位名称）</w:t>
      </w:r>
    </w:p>
    <w:p w14:paraId="5972D3EF">
      <w:pPr>
        <w:pageBreakBefore w:val="0"/>
        <w:widowControl w:val="0"/>
        <w:numPr>
          <w:ilvl w:val="0"/>
          <w:numId w:val="2"/>
        </w:numPr>
        <w:kinsoku/>
        <w:wordWrap/>
        <w:overflowPunct/>
        <w:topLinePunct w:val="0"/>
        <w:bidi w:val="0"/>
        <w:spacing w:line="52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合同标的:</w:t>
      </w:r>
    </w:p>
    <w:p w14:paraId="684F335E">
      <w:pPr>
        <w:pageBreakBefore w:val="0"/>
        <w:widowControl w:val="0"/>
        <w:kinsoku/>
        <w:wordWrap/>
        <w:overflowPunct/>
        <w:topLinePunct w:val="0"/>
        <w:bidi w:val="0"/>
        <w:spacing w:line="520" w:lineRule="exact"/>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二、合同价款：</w:t>
      </w:r>
    </w:p>
    <w:p w14:paraId="299D8A1D">
      <w:pPr>
        <w:pageBreakBefore w:val="0"/>
        <w:widowControl w:val="0"/>
        <w:tabs>
          <w:tab w:val="left" w:pos="735"/>
        </w:tabs>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
          <w:sz w:val="24"/>
          <w:szCs w:val="24"/>
        </w:rPr>
      </w:pPr>
      <w:r>
        <w:rPr>
          <w:rFonts w:hint="eastAsia" w:ascii="宋体" w:hAnsi="宋体" w:eastAsia="宋体" w:cs="宋体"/>
          <w:sz w:val="24"/>
          <w:szCs w:val="24"/>
        </w:rPr>
        <w:t>1、合同总价：</w:t>
      </w:r>
    </w:p>
    <w:p w14:paraId="762B7671">
      <w:pPr>
        <w:pageBreakBefore w:val="0"/>
        <w:widowControl w:val="0"/>
        <w:kinsoku/>
        <w:wordWrap/>
        <w:overflowPunct/>
        <w:topLinePunct w:val="0"/>
        <w:bidi w:val="0"/>
        <w:spacing w:line="520" w:lineRule="exact"/>
        <w:ind w:left="638" w:leftChars="228"/>
        <w:textAlignment w:val="auto"/>
        <w:rPr>
          <w:rFonts w:hint="eastAsia" w:ascii="宋体" w:hAnsi="宋体" w:eastAsia="宋体" w:cs="宋体"/>
          <w:sz w:val="24"/>
          <w:szCs w:val="24"/>
          <w:lang w:val="zh-CN"/>
        </w:rPr>
      </w:pPr>
      <w:r>
        <w:rPr>
          <w:rFonts w:hint="eastAsia" w:ascii="宋体" w:hAnsi="宋体" w:eastAsia="宋体" w:cs="宋体"/>
          <w:sz w:val="24"/>
          <w:szCs w:val="24"/>
        </w:rPr>
        <w:t>2、合同总价包括：</w:t>
      </w:r>
      <w:r>
        <w:rPr>
          <w:rFonts w:hint="eastAsia" w:ascii="宋体" w:hAnsi="宋体" w:eastAsia="宋体" w:cs="宋体"/>
          <w:sz w:val="24"/>
          <w:szCs w:val="24"/>
          <w:lang w:val="zh-CN"/>
        </w:rPr>
        <w:t>项目实施费及其他费用等从项目实施至验收合格等所有其他有关各项的含税费用。</w:t>
      </w:r>
    </w:p>
    <w:p w14:paraId="4C2C0F4F">
      <w:pPr>
        <w:pageBreakBefore w:val="0"/>
        <w:widowControl w:val="0"/>
        <w:kinsoku/>
        <w:wordWrap/>
        <w:overflowPunct/>
        <w:topLinePunct w:val="0"/>
        <w:bidi w:val="0"/>
        <w:spacing w:line="520" w:lineRule="exact"/>
        <w:ind w:left="638" w:leftChars="228"/>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合同总价</w:t>
      </w:r>
      <w:r>
        <w:rPr>
          <w:rFonts w:hint="eastAsia" w:ascii="宋体" w:hAnsi="宋体" w:eastAsia="宋体" w:cs="宋体"/>
          <w:sz w:val="24"/>
          <w:szCs w:val="24"/>
        </w:rPr>
        <w:t>不受市场价格、工作量变化等其它因素的影响；</w:t>
      </w:r>
    </w:p>
    <w:p w14:paraId="2EA035B8">
      <w:pPr>
        <w:pageBreakBefore w:val="0"/>
        <w:widowControl w:val="0"/>
        <w:tabs>
          <w:tab w:val="left" w:pos="735"/>
        </w:tabs>
        <w:kinsoku/>
        <w:wordWrap/>
        <w:overflowPunct/>
        <w:topLinePunct w:val="0"/>
        <w:bidi w:val="0"/>
        <w:adjustRightInd w:val="0"/>
        <w:snapToGrid w:val="0"/>
        <w:spacing w:line="520" w:lineRule="exact"/>
        <w:ind w:firstLine="482" w:firstLineChars="200"/>
        <w:textAlignment w:val="auto"/>
        <w:rPr>
          <w:rFonts w:hint="eastAsia" w:ascii="宋体" w:hAnsi="宋体" w:eastAsia="宋体" w:cs="宋体"/>
          <w:b/>
          <w:bCs w:val="0"/>
          <w:sz w:val="24"/>
          <w:szCs w:val="24"/>
        </w:rPr>
      </w:pPr>
      <w:r>
        <w:rPr>
          <w:rFonts w:hint="eastAsia" w:ascii="宋体" w:hAnsi="宋体" w:eastAsia="宋体" w:cs="宋体"/>
          <w:b/>
          <w:bCs w:val="0"/>
          <w:sz w:val="24"/>
          <w:szCs w:val="24"/>
        </w:rPr>
        <w:t>三、合</w:t>
      </w:r>
      <w:r>
        <w:rPr>
          <w:rFonts w:hint="eastAsia" w:ascii="宋体" w:hAnsi="宋体" w:eastAsia="宋体" w:cs="宋体"/>
          <w:b/>
          <w:bCs w:val="0"/>
          <w:sz w:val="24"/>
          <w:szCs w:val="24"/>
          <w:highlight w:val="none"/>
        </w:rPr>
        <w:t>同价款的支付</w:t>
      </w:r>
    </w:p>
    <w:p w14:paraId="3EFF7C50">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b/>
          <w:bCs w:val="0"/>
          <w:sz w:val="24"/>
          <w:szCs w:val="24"/>
          <w:highlight w:val="none"/>
          <w:lang w:eastAsia="zh-CN"/>
        </w:rPr>
      </w:pPr>
      <w:r>
        <w:rPr>
          <w:rFonts w:hint="eastAsia" w:ascii="宋体" w:hAnsi="宋体" w:eastAsia="宋体" w:cs="宋体"/>
          <w:b w:val="0"/>
          <w:bCs/>
          <w:sz w:val="24"/>
          <w:szCs w:val="24"/>
        </w:rPr>
        <w:t>1、</w:t>
      </w:r>
      <w:r>
        <w:rPr>
          <w:rFonts w:hint="eastAsia" w:ascii="宋体" w:hAnsi="宋体" w:eastAsia="宋体" w:cs="宋体"/>
          <w:b w:val="0"/>
          <w:bCs w:val="0"/>
          <w:color w:val="000000"/>
          <w:sz w:val="24"/>
          <w:szCs w:val="24"/>
          <w:highlight w:val="none"/>
          <w:lang w:val="en-US" w:eastAsia="zh-CN"/>
        </w:rPr>
        <w:t>付款方式：</w:t>
      </w:r>
      <w:r>
        <w:rPr>
          <w:rFonts w:hint="eastAsia" w:ascii="宋体" w:hAnsi="宋体" w:eastAsia="宋体" w:cs="宋体"/>
          <w:color w:val="auto"/>
          <w:kern w:val="0"/>
          <w:sz w:val="24"/>
          <w:szCs w:val="24"/>
          <w:highlight w:val="none"/>
          <w:lang w:val="en-US" w:eastAsia="zh-CN" w:bidi="ar"/>
        </w:rPr>
        <w:t>合同签订后，达到付款条件起10日内，支付合同总金额的40%，待工程完成并通过竣工验收后达到付款条件起10日内，支付至合同总金额的90%，在建设单位审核完毕施工单位的结算资料后并达到付款条件起10日内，支付至合同总金额的100%。</w:t>
      </w:r>
    </w:p>
    <w:p w14:paraId="2781C5E1">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2、结算方式：</w:t>
      </w:r>
      <w:r>
        <w:rPr>
          <w:rFonts w:hint="eastAsia" w:ascii="宋体" w:hAnsi="宋体" w:eastAsia="宋体" w:cs="宋体"/>
          <w:bCs/>
          <w:sz w:val="24"/>
          <w:szCs w:val="24"/>
        </w:rPr>
        <w:t>采购人与成交供应商直接结算。发票直开采购人</w:t>
      </w:r>
      <w:r>
        <w:rPr>
          <w:rFonts w:hint="eastAsia" w:ascii="宋体" w:hAnsi="宋体" w:eastAsia="宋体" w:cs="宋体"/>
          <w:sz w:val="24"/>
          <w:szCs w:val="24"/>
        </w:rPr>
        <w:t>。</w:t>
      </w:r>
    </w:p>
    <w:p w14:paraId="4E769B8B">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highlight w:val="yellow"/>
        </w:rPr>
      </w:pPr>
      <w:r>
        <w:rPr>
          <w:rFonts w:hint="eastAsia" w:ascii="宋体" w:hAnsi="宋体" w:cs="宋体"/>
          <w:sz w:val="24"/>
          <w:szCs w:val="24"/>
          <w:lang w:val="en-US" w:eastAsia="zh-CN"/>
        </w:rPr>
        <w:t>3</w:t>
      </w:r>
      <w:r>
        <w:rPr>
          <w:rFonts w:hint="eastAsia" w:ascii="宋体" w:hAnsi="宋体" w:eastAsia="宋体" w:cs="宋体"/>
          <w:sz w:val="24"/>
          <w:szCs w:val="24"/>
        </w:rPr>
        <w:t>、支付方式：银行转账。</w:t>
      </w:r>
    </w:p>
    <w:p w14:paraId="182D2A7B">
      <w:pPr>
        <w:pageBreakBefore w:val="0"/>
        <w:widowControl w:val="0"/>
        <w:kinsoku/>
        <w:wordWrap/>
        <w:overflowPunct/>
        <w:topLinePunct w:val="0"/>
        <w:autoSpaceDE w:val="0"/>
        <w:autoSpaceDN w:val="0"/>
        <w:bidi w:val="0"/>
        <w:adjustRightInd w:val="0"/>
        <w:snapToGrid w:val="0"/>
        <w:spacing w:line="520" w:lineRule="exact"/>
        <w:ind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四、质量保证</w:t>
      </w:r>
    </w:p>
    <w:p w14:paraId="579ECE2D">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1、工程质量为合格。</w:t>
      </w:r>
    </w:p>
    <w:p w14:paraId="7859BA89">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2、所用设备是经过国家法定检验、注册、准许市场销售的合法产品。</w:t>
      </w:r>
    </w:p>
    <w:p w14:paraId="5505EE8D">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bCs/>
          <w:sz w:val="24"/>
          <w:szCs w:val="24"/>
          <w:lang w:val="zh-CN"/>
        </w:rPr>
      </w:pPr>
      <w:r>
        <w:rPr>
          <w:rFonts w:hint="eastAsia" w:ascii="宋体" w:hAnsi="宋体" w:eastAsia="宋体" w:cs="宋体"/>
          <w:bCs/>
          <w:sz w:val="24"/>
          <w:szCs w:val="24"/>
          <w:lang w:val="zh-CN"/>
        </w:rPr>
        <w:t>3、因拆除、安装等方面施工引起影响正常使用的问题，由施工方负全部责任。因使用方使用不当所造成的问题，施工方全力配合解决。</w:t>
      </w:r>
    </w:p>
    <w:p w14:paraId="65780EE2">
      <w:pPr>
        <w:pageBreakBefore w:val="0"/>
        <w:widowControl w:val="0"/>
        <w:kinsoku/>
        <w:wordWrap/>
        <w:overflowPunct/>
        <w:topLinePunct w:val="0"/>
        <w:autoSpaceDE w:val="0"/>
        <w:autoSpaceDN w:val="0"/>
        <w:bidi w:val="0"/>
        <w:adjustRightInd w:val="0"/>
        <w:snapToGrid w:val="0"/>
        <w:spacing w:line="520" w:lineRule="exact"/>
        <w:ind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五、关于工期的约定</w:t>
      </w:r>
    </w:p>
    <w:p w14:paraId="176AD471">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1.甲方要求比合同约定的工期提前竣工时，应征得乙方同意，并支付乙方因赶工采取的措施费用。</w:t>
      </w:r>
    </w:p>
    <w:p w14:paraId="7195C8B4">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2.因甲方未按约定完成工作且影响工期的，工期相应顺延。</w:t>
      </w:r>
    </w:p>
    <w:p w14:paraId="418D5DC8">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3.因乙方责任，不能按期开工或中途无故停工，影响工期，工期不顺延，由乙方承担逾期完工的违约责任。</w:t>
      </w:r>
    </w:p>
    <w:p w14:paraId="4CCAFAB0">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4.因设计变更或非乙方原因造成的停电、停水、停气及不可抗力因素影响，导致停工8小时以上（一周内累计计算），工期相应顺延。</w:t>
      </w:r>
    </w:p>
    <w:p w14:paraId="5FE9005D">
      <w:pPr>
        <w:pageBreakBefore w:val="0"/>
        <w:widowControl w:val="0"/>
        <w:kinsoku/>
        <w:wordWrap/>
        <w:overflowPunct/>
        <w:topLinePunct w:val="0"/>
        <w:autoSpaceDE w:val="0"/>
        <w:autoSpaceDN w:val="0"/>
        <w:bidi w:val="0"/>
        <w:adjustRightInd w:val="0"/>
        <w:snapToGrid w:val="0"/>
        <w:spacing w:line="520" w:lineRule="exact"/>
        <w:ind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六、技术服务</w:t>
      </w:r>
    </w:p>
    <w:p w14:paraId="60FF32DD">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w:t>
      </w:r>
      <w:r>
        <w:rPr>
          <w:rFonts w:hint="eastAsia" w:ascii="宋体" w:hAnsi="宋体" w:eastAsia="宋体" w:cs="宋体"/>
          <w:sz w:val="24"/>
          <w:szCs w:val="24"/>
        </w:rPr>
        <w:t>1</w:t>
      </w:r>
      <w:r>
        <w:rPr>
          <w:rFonts w:hint="eastAsia" w:ascii="宋体" w:hAnsi="宋体" w:eastAsia="宋体" w:cs="宋体"/>
          <w:sz w:val="24"/>
          <w:szCs w:val="24"/>
          <w:lang w:val="zh-CN"/>
        </w:rPr>
        <w:t>、工程竣工资料；</w:t>
      </w:r>
    </w:p>
    <w:p w14:paraId="07B3C453">
      <w:pPr>
        <w:pageBreakBefore w:val="0"/>
        <w:widowControl w:val="0"/>
        <w:kinsoku/>
        <w:wordWrap/>
        <w:overflowPunct/>
        <w:topLinePunct w:val="0"/>
        <w:autoSpaceDE w:val="0"/>
        <w:autoSpaceDN w:val="0"/>
        <w:bidi w:val="0"/>
        <w:adjustRightInd w:val="0"/>
        <w:snapToGrid w:val="0"/>
        <w:spacing w:line="520" w:lineRule="exact"/>
        <w:ind w:firstLine="480" w:firstLineChars="200"/>
        <w:textAlignment w:val="auto"/>
        <w:rPr>
          <w:rFonts w:hint="eastAsia" w:ascii="宋体" w:hAnsi="宋体" w:eastAsia="宋体" w:cs="宋体"/>
          <w:sz w:val="24"/>
          <w:szCs w:val="24"/>
          <w:lang w:val="zh-CN"/>
        </w:rPr>
      </w:pPr>
      <w:r>
        <w:rPr>
          <w:rFonts w:hint="eastAsia" w:ascii="宋体" w:hAnsi="宋体" w:eastAsia="宋体" w:cs="宋体"/>
          <w:sz w:val="24"/>
          <w:szCs w:val="24"/>
          <w:lang w:val="zh-CN"/>
        </w:rPr>
        <w:t>1-</w:t>
      </w:r>
      <w:r>
        <w:rPr>
          <w:rFonts w:hint="eastAsia" w:ascii="宋体" w:hAnsi="宋体" w:eastAsia="宋体" w:cs="宋体"/>
          <w:sz w:val="24"/>
          <w:szCs w:val="24"/>
        </w:rPr>
        <w:t>2</w:t>
      </w:r>
      <w:r>
        <w:rPr>
          <w:rFonts w:hint="eastAsia" w:ascii="宋体" w:hAnsi="宋体" w:eastAsia="宋体" w:cs="宋体"/>
          <w:sz w:val="24"/>
          <w:szCs w:val="24"/>
          <w:lang w:val="zh-CN"/>
        </w:rPr>
        <w:t>、其它资料。</w:t>
      </w:r>
    </w:p>
    <w:p w14:paraId="0DCEE821">
      <w:pPr>
        <w:pageBreakBefore w:val="0"/>
        <w:widowControl w:val="0"/>
        <w:kinsoku/>
        <w:wordWrap/>
        <w:overflowPunct/>
        <w:topLinePunct w:val="0"/>
        <w:autoSpaceDE w:val="0"/>
        <w:autoSpaceDN w:val="0"/>
        <w:bidi w:val="0"/>
        <w:adjustRightInd w:val="0"/>
        <w:snapToGrid w:val="0"/>
        <w:spacing w:line="520" w:lineRule="exact"/>
        <w:ind w:firstLine="482" w:firstLineChars="200"/>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七、违约责任</w:t>
      </w:r>
    </w:p>
    <w:p w14:paraId="45C93AE1">
      <w:pPr>
        <w:pageBreakBefore w:val="0"/>
        <w:widowControl w:val="0"/>
        <w:kinsoku/>
        <w:wordWrap/>
        <w:overflowPunct/>
        <w:topLinePunct w:val="0"/>
        <w:autoSpaceDE w:val="0"/>
        <w:autoSpaceDN w:val="0"/>
        <w:bidi w:val="0"/>
        <w:adjustRightInd w:val="0"/>
        <w:snapToGrid w:val="0"/>
        <w:spacing w:line="520" w:lineRule="exact"/>
        <w:ind w:firstLine="470" w:firstLineChars="196"/>
        <w:textAlignment w:val="auto"/>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1、依据《中华人民共和国民法典》、《中华人民共和国政府采购法》的相关条款和本合同约定的相关条款执行。</w:t>
      </w:r>
    </w:p>
    <w:p w14:paraId="2F5929AA">
      <w:pPr>
        <w:pageBreakBefore w:val="0"/>
        <w:widowControl w:val="0"/>
        <w:kinsoku/>
        <w:wordWrap/>
        <w:overflowPunct/>
        <w:topLinePunct w:val="0"/>
        <w:autoSpaceDE w:val="0"/>
        <w:autoSpaceDN w:val="0"/>
        <w:bidi w:val="0"/>
        <w:adjustRightInd w:val="0"/>
        <w:snapToGrid w:val="0"/>
        <w:spacing w:line="520" w:lineRule="exact"/>
        <w:ind w:firstLine="470" w:firstLineChars="196"/>
        <w:textAlignment w:val="auto"/>
        <w:rPr>
          <w:rFonts w:hint="eastAsia" w:ascii="宋体" w:hAnsi="宋体" w:eastAsia="宋体" w:cs="宋体"/>
          <w:b w:val="0"/>
          <w:bCs/>
          <w:sz w:val="24"/>
          <w:szCs w:val="24"/>
          <w:lang w:val="zh-CN"/>
        </w:rPr>
      </w:pPr>
      <w:r>
        <w:rPr>
          <w:rFonts w:hint="eastAsia" w:ascii="宋体" w:hAnsi="宋体" w:eastAsia="宋体" w:cs="宋体"/>
          <w:b w:val="0"/>
          <w:bCs/>
          <w:sz w:val="24"/>
          <w:szCs w:val="24"/>
          <w:lang w:val="en-US" w:eastAsia="zh-CN"/>
        </w:rPr>
        <w:t>2、</w:t>
      </w:r>
      <w:r>
        <w:rPr>
          <w:rFonts w:hint="eastAsia" w:ascii="宋体" w:hAnsi="宋体" w:eastAsia="宋体" w:cs="宋体"/>
          <w:b w:val="0"/>
          <w:bCs/>
          <w:sz w:val="24"/>
          <w:szCs w:val="24"/>
          <w:lang w:val="zh-CN"/>
        </w:rPr>
        <w:t>成交供应商未按合同要求履行，不符合采购技术要求，成交供应商必须无条件更换人员或设备，提高技术，完善质量，否则，采购人有权终止合同，并对成交供应商的违约行为进行追究并依法向成交供应商进行经济索赔。</w:t>
      </w:r>
    </w:p>
    <w:p w14:paraId="37B49E34">
      <w:pPr>
        <w:pageBreakBefore w:val="0"/>
        <w:widowControl w:val="0"/>
        <w:kinsoku/>
        <w:wordWrap/>
        <w:overflowPunct/>
        <w:topLinePunct w:val="0"/>
        <w:autoSpaceDE w:val="0"/>
        <w:autoSpaceDN w:val="0"/>
        <w:bidi w:val="0"/>
        <w:adjustRightInd w:val="0"/>
        <w:snapToGrid w:val="0"/>
        <w:spacing w:line="520" w:lineRule="exact"/>
        <w:ind w:firstLine="472" w:firstLineChars="196"/>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八、验收</w:t>
      </w:r>
    </w:p>
    <w:p w14:paraId="1E3C46C9">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1、整个工程施工完毕，由</w:t>
      </w:r>
      <w:r>
        <w:rPr>
          <w:rFonts w:hint="eastAsia" w:ascii="宋体" w:hAnsi="宋体" w:eastAsia="宋体" w:cs="宋体"/>
          <w:sz w:val="24"/>
          <w:szCs w:val="24"/>
          <w:lang w:eastAsia="zh-CN"/>
        </w:rPr>
        <w:t>发包人</w:t>
      </w:r>
      <w:r>
        <w:rPr>
          <w:rFonts w:hint="eastAsia" w:ascii="宋体" w:hAnsi="宋体" w:eastAsia="宋体" w:cs="宋体"/>
          <w:sz w:val="24"/>
          <w:szCs w:val="24"/>
        </w:rPr>
        <w:t>组织进行验收，出具正式报告。其验收结果作为最终的验收依据。</w:t>
      </w:r>
    </w:p>
    <w:p w14:paraId="19095736">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2、甲方根据有关国家质量验收规范和评定标准进行技术交底和组织验收，乙方按照施工图纸和说明书要求，精心组织施工，保证工程质量，如质量不合标准，必须返工修理，其工料费损失，由乙方承担</w:t>
      </w:r>
      <w:r>
        <w:rPr>
          <w:rFonts w:hint="eastAsia" w:ascii="宋体" w:hAnsi="宋体" w:cs="宋体"/>
          <w:sz w:val="24"/>
          <w:szCs w:val="24"/>
          <w:lang w:val="en-US" w:eastAsia="zh-CN"/>
        </w:rPr>
        <w:t>且工期不予顺延</w:t>
      </w:r>
      <w:r>
        <w:rPr>
          <w:rFonts w:hint="eastAsia" w:ascii="宋体" w:hAnsi="宋体" w:eastAsia="宋体" w:cs="宋体"/>
          <w:sz w:val="24"/>
          <w:szCs w:val="24"/>
        </w:rPr>
        <w:t>；如工程质量低劣又无法挽救的，应由乙方负责赔偿全部工料损失</w:t>
      </w:r>
      <w:r>
        <w:rPr>
          <w:rFonts w:hint="eastAsia" w:ascii="宋体" w:hAnsi="宋体" w:cs="宋体"/>
          <w:sz w:val="24"/>
          <w:szCs w:val="24"/>
          <w:lang w:eastAsia="zh-CN"/>
        </w:rPr>
        <w:t>，</w:t>
      </w:r>
      <w:r>
        <w:rPr>
          <w:rFonts w:hint="eastAsia" w:ascii="宋体" w:hAnsi="宋体" w:cs="宋体"/>
          <w:sz w:val="24"/>
          <w:szCs w:val="24"/>
          <w:lang w:val="en-US" w:eastAsia="zh-CN"/>
        </w:rPr>
        <w:t>发包人不予支付工程款</w:t>
      </w:r>
      <w:r>
        <w:rPr>
          <w:rFonts w:hint="eastAsia" w:ascii="宋体" w:hAnsi="宋体" w:eastAsia="宋体" w:cs="宋体"/>
          <w:sz w:val="24"/>
          <w:szCs w:val="24"/>
        </w:rPr>
        <w:t>。</w:t>
      </w:r>
    </w:p>
    <w:p w14:paraId="6D42A1FC">
      <w:pPr>
        <w:pageBreakBefore w:val="0"/>
        <w:widowControl w:val="0"/>
        <w:kinsoku/>
        <w:wordWrap/>
        <w:overflowPunct/>
        <w:topLinePunct w:val="0"/>
        <w:autoSpaceDE w:val="0"/>
        <w:autoSpaceDN w:val="0"/>
        <w:bidi w:val="0"/>
        <w:adjustRightInd w:val="0"/>
        <w:snapToGrid w:val="0"/>
        <w:spacing w:line="520" w:lineRule="exact"/>
        <w:ind w:firstLine="472" w:firstLineChars="196"/>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九、合同的变更、中止、终止</w:t>
      </w:r>
    </w:p>
    <w:p w14:paraId="1009BC77">
      <w:pPr>
        <w:pageBreakBefore w:val="0"/>
        <w:widowControl w:val="0"/>
        <w:kinsoku/>
        <w:wordWrap/>
        <w:overflowPunct/>
        <w:topLinePunct w:val="0"/>
        <w:autoSpaceDE w:val="0"/>
        <w:autoSpaceDN w:val="0"/>
        <w:bidi w:val="0"/>
        <w:adjustRightInd w:val="0"/>
        <w:snapToGrid w:val="0"/>
        <w:spacing w:line="520" w:lineRule="exact"/>
        <w:ind w:firstLine="470" w:firstLineChars="196"/>
        <w:textAlignment w:val="auto"/>
        <w:rPr>
          <w:rFonts w:hint="eastAsia" w:ascii="宋体" w:hAnsi="宋体" w:eastAsia="宋体" w:cs="宋体"/>
          <w:b w:val="0"/>
          <w:bCs/>
          <w:sz w:val="24"/>
          <w:szCs w:val="24"/>
          <w:lang w:val="zh-CN"/>
        </w:rPr>
      </w:pPr>
      <w:r>
        <w:rPr>
          <w:rFonts w:hint="eastAsia" w:ascii="宋体" w:hAnsi="宋体" w:eastAsia="宋体" w:cs="宋体"/>
          <w:b w:val="0"/>
          <w:bCs/>
          <w:sz w:val="24"/>
          <w:szCs w:val="24"/>
          <w:lang w:val="zh-CN"/>
        </w:rPr>
        <w:t>合同一经签订，不得擅自变更、中止或者终止合同。对确需变更、调整或者中止、终止合同的，由双方协商解决。</w:t>
      </w:r>
    </w:p>
    <w:p w14:paraId="50D7EAF8">
      <w:pPr>
        <w:pageBreakBefore w:val="0"/>
        <w:widowControl w:val="0"/>
        <w:kinsoku/>
        <w:wordWrap/>
        <w:overflowPunct/>
        <w:topLinePunct w:val="0"/>
        <w:autoSpaceDE w:val="0"/>
        <w:autoSpaceDN w:val="0"/>
        <w:bidi w:val="0"/>
        <w:adjustRightInd w:val="0"/>
        <w:snapToGrid w:val="0"/>
        <w:spacing w:line="520" w:lineRule="exact"/>
        <w:ind w:firstLine="472" w:firstLineChars="196"/>
        <w:textAlignment w:val="auto"/>
        <w:rPr>
          <w:rFonts w:hint="eastAsia" w:ascii="宋体" w:hAnsi="宋体" w:eastAsia="宋体" w:cs="宋体"/>
          <w:b/>
          <w:sz w:val="24"/>
          <w:szCs w:val="24"/>
          <w:lang w:val="zh-CN"/>
        </w:rPr>
      </w:pPr>
      <w:r>
        <w:rPr>
          <w:rFonts w:hint="eastAsia" w:ascii="宋体" w:hAnsi="宋体" w:eastAsia="宋体" w:cs="宋体"/>
          <w:b/>
          <w:sz w:val="24"/>
          <w:szCs w:val="24"/>
          <w:lang w:val="zh-CN"/>
        </w:rPr>
        <w:t>十、合同争议的解决</w:t>
      </w:r>
    </w:p>
    <w:p w14:paraId="1C206D88">
      <w:pPr>
        <w:pageBreakBefore w:val="0"/>
        <w:widowControl w:val="0"/>
        <w:kinsoku/>
        <w:wordWrap/>
        <w:overflowPunct/>
        <w:topLinePunct w:val="0"/>
        <w:autoSpaceDE w:val="0"/>
        <w:autoSpaceDN w:val="0"/>
        <w:bidi w:val="0"/>
        <w:adjustRightInd w:val="0"/>
        <w:snapToGrid w:val="0"/>
        <w:spacing w:line="520" w:lineRule="exact"/>
        <w:ind w:firstLine="470" w:firstLineChars="196"/>
        <w:textAlignment w:val="auto"/>
        <w:rPr>
          <w:rFonts w:hint="eastAsia"/>
        </w:rPr>
      </w:pPr>
      <w:r>
        <w:rPr>
          <w:rFonts w:hint="eastAsia" w:ascii="宋体" w:hAnsi="宋体" w:eastAsia="宋体" w:cs="宋体"/>
          <w:b w:val="0"/>
          <w:bCs/>
          <w:sz w:val="24"/>
          <w:szCs w:val="24"/>
          <w:lang w:val="zh-CN"/>
        </w:rPr>
        <w:t>合同在履行过程中发生的争议，当事人双方应协商解决，协商达不成一致时，可向采购方所在地仲裁委员会申请仲裁或者向人民法院提请诉讼。</w:t>
      </w:r>
    </w:p>
    <w:p w14:paraId="0A673E6B">
      <w:pPr>
        <w:pageBreakBefore w:val="0"/>
        <w:widowControl w:val="0"/>
        <w:kinsoku/>
        <w:wordWrap/>
        <w:overflowPunct/>
        <w:topLinePunct w:val="0"/>
        <w:bidi w:val="0"/>
        <w:spacing w:line="520" w:lineRule="exact"/>
        <w:ind w:firstLine="482" w:firstLineChars="200"/>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十一、合同组成</w:t>
      </w:r>
    </w:p>
    <w:p w14:paraId="187251A7">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成交</w:t>
      </w:r>
      <w:r>
        <w:rPr>
          <w:rFonts w:hint="eastAsia" w:ascii="宋体" w:hAnsi="宋体" w:eastAsia="宋体" w:cs="宋体"/>
          <w:sz w:val="24"/>
          <w:szCs w:val="24"/>
        </w:rPr>
        <w:t>通知书</w:t>
      </w:r>
    </w:p>
    <w:p w14:paraId="21C56CBF">
      <w:pPr>
        <w:pageBreakBefore w:val="0"/>
        <w:widowControl w:val="0"/>
        <w:kinsoku/>
        <w:wordWrap/>
        <w:overflowPunct/>
        <w:topLinePunct w:val="0"/>
        <w:bidi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2、合同文件</w:t>
      </w:r>
    </w:p>
    <w:p w14:paraId="0C5ACFF8">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竞争性磋商</w:t>
      </w:r>
      <w:r>
        <w:rPr>
          <w:rFonts w:hint="eastAsia" w:ascii="宋体" w:hAnsi="宋体" w:eastAsia="宋体" w:cs="宋体"/>
          <w:sz w:val="24"/>
          <w:szCs w:val="24"/>
        </w:rPr>
        <w:t>文件</w:t>
      </w:r>
    </w:p>
    <w:p w14:paraId="57545AEA">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eastAsia="zh-CN"/>
        </w:rPr>
        <w:t>竞争性磋商响应</w:t>
      </w:r>
      <w:r>
        <w:rPr>
          <w:rFonts w:hint="eastAsia" w:ascii="宋体" w:hAnsi="宋体" w:eastAsia="宋体" w:cs="宋体"/>
          <w:sz w:val="24"/>
          <w:szCs w:val="24"/>
        </w:rPr>
        <w:t>文件</w:t>
      </w:r>
    </w:p>
    <w:p w14:paraId="06633FF2">
      <w:pPr>
        <w:pageBreakBefore w:val="0"/>
        <w:widowControl w:val="0"/>
        <w:kinsoku/>
        <w:wordWrap/>
        <w:overflowPunct/>
        <w:topLinePunct w:val="0"/>
        <w:bidi w:val="0"/>
        <w:spacing w:line="520" w:lineRule="exact"/>
        <w:ind w:firstLine="482" w:firstLineChars="200"/>
        <w:textAlignment w:val="auto"/>
        <w:rPr>
          <w:rFonts w:hint="eastAsia" w:ascii="宋体" w:hAnsi="宋体" w:eastAsia="宋体" w:cs="宋体"/>
          <w:b/>
          <w:bCs/>
          <w:sz w:val="24"/>
          <w:szCs w:val="24"/>
          <w:lang w:val="zh-CN"/>
        </w:rPr>
      </w:pPr>
      <w:r>
        <w:rPr>
          <w:rFonts w:hint="eastAsia" w:ascii="宋体" w:hAnsi="宋体" w:eastAsia="宋体" w:cs="宋体"/>
          <w:b/>
          <w:bCs/>
          <w:sz w:val="24"/>
          <w:szCs w:val="24"/>
          <w:lang w:val="zh-CN"/>
        </w:rPr>
        <w:t>十二、合同生效及其它</w:t>
      </w:r>
    </w:p>
    <w:p w14:paraId="07D39FA2">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1、合同未尽事宜、由甲、乙双方协商，作为合同补充，与原合同具有同等法律效力。</w:t>
      </w:r>
    </w:p>
    <w:p w14:paraId="04514379">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2、本合同正本一式</w:t>
      </w:r>
      <w:r>
        <w:rPr>
          <w:rFonts w:hint="eastAsia" w:ascii="宋体" w:hAnsi="宋体" w:eastAsia="宋体" w:cs="宋体"/>
          <w:sz w:val="24"/>
          <w:szCs w:val="24"/>
          <w:u w:val="single"/>
        </w:rPr>
        <w:t xml:space="preserve">   </w:t>
      </w:r>
      <w:r>
        <w:rPr>
          <w:rFonts w:hint="eastAsia" w:ascii="宋体" w:hAnsi="宋体" w:eastAsia="宋体" w:cs="宋体"/>
          <w:sz w:val="24"/>
          <w:szCs w:val="24"/>
        </w:rPr>
        <w:t>份，甲方、乙方双方分别执</w:t>
      </w:r>
      <w:r>
        <w:rPr>
          <w:rFonts w:hint="eastAsia" w:ascii="宋体" w:hAnsi="宋体" w:eastAsia="宋体" w:cs="宋体"/>
          <w:sz w:val="24"/>
          <w:szCs w:val="24"/>
          <w:u w:val="single"/>
        </w:rPr>
        <w:t xml:space="preserve">   </w:t>
      </w:r>
      <w:r>
        <w:rPr>
          <w:rFonts w:hint="eastAsia" w:ascii="宋体" w:hAnsi="宋体" w:eastAsia="宋体" w:cs="宋体"/>
          <w:sz w:val="24"/>
          <w:szCs w:val="24"/>
        </w:rPr>
        <w:t>份，备案</w:t>
      </w:r>
      <w:r>
        <w:rPr>
          <w:rFonts w:hint="eastAsia" w:ascii="宋体" w:hAnsi="宋体" w:eastAsia="宋体" w:cs="宋体"/>
          <w:sz w:val="24"/>
          <w:szCs w:val="24"/>
          <w:u w:val="single"/>
        </w:rPr>
        <w:t xml:space="preserve">   </w:t>
      </w:r>
      <w:r>
        <w:rPr>
          <w:rFonts w:hint="eastAsia" w:ascii="宋体" w:hAnsi="宋体" w:eastAsia="宋体" w:cs="宋体"/>
          <w:sz w:val="24"/>
          <w:szCs w:val="24"/>
        </w:rPr>
        <w:t>份。</w:t>
      </w:r>
    </w:p>
    <w:p w14:paraId="2700B23D">
      <w:pPr>
        <w:pageBreakBefore w:val="0"/>
        <w:widowControl w:val="0"/>
        <w:kinsoku/>
        <w:wordWrap/>
        <w:overflowPunct/>
        <w:topLinePunct w:val="0"/>
        <w:bidi w:val="0"/>
        <w:adjustRightInd w:val="0"/>
        <w:snapToGrid w:val="0"/>
        <w:spacing w:line="52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3、合同经甲乙双方</w:t>
      </w:r>
      <w:r>
        <w:rPr>
          <w:rFonts w:hint="eastAsia" w:ascii="宋体" w:hAnsi="宋体" w:cs="宋体"/>
          <w:sz w:val="24"/>
          <w:szCs w:val="24"/>
          <w:lang w:val="en-US" w:eastAsia="zh-CN"/>
        </w:rPr>
        <w:t>法定代表人或委托代理人签字并</w:t>
      </w:r>
      <w:r>
        <w:rPr>
          <w:rFonts w:hint="eastAsia" w:ascii="宋体" w:hAnsi="宋体" w:eastAsia="宋体" w:cs="宋体"/>
          <w:sz w:val="24"/>
          <w:szCs w:val="24"/>
        </w:rPr>
        <w:t>盖章</w:t>
      </w:r>
      <w:r>
        <w:rPr>
          <w:rFonts w:hint="eastAsia" w:ascii="宋体" w:hAnsi="宋体" w:cs="宋体"/>
          <w:sz w:val="24"/>
          <w:szCs w:val="24"/>
          <w:lang w:val="en-US" w:eastAsia="zh-CN"/>
        </w:rPr>
        <w:t>之日起</w:t>
      </w:r>
      <w:r>
        <w:rPr>
          <w:rFonts w:hint="eastAsia" w:ascii="宋体" w:hAnsi="宋体" w:eastAsia="宋体" w:cs="宋体"/>
          <w:sz w:val="24"/>
          <w:szCs w:val="24"/>
        </w:rPr>
        <w:t>生效，合同签订地点为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ADB515D">
      <w:pPr>
        <w:pStyle w:val="3"/>
        <w:pageBreakBefore w:val="0"/>
        <w:widowControl w:val="0"/>
        <w:numPr>
          <w:ilvl w:val="0"/>
          <w:numId w:val="0"/>
        </w:numPr>
        <w:kinsoku/>
        <w:wordWrap/>
        <w:overflowPunct/>
        <w:topLinePunct w:val="0"/>
        <w:bidi w:val="0"/>
        <w:spacing w:line="520" w:lineRule="exact"/>
        <w:textAlignment w:val="auto"/>
        <w:rPr>
          <w:rFonts w:hint="eastAsia"/>
        </w:rPr>
      </w:pPr>
    </w:p>
    <w:tbl>
      <w:tblPr>
        <w:tblStyle w:val="4"/>
        <w:tblpPr w:leftFromText="180" w:rightFromText="180" w:vertAnchor="text" w:horzAnchor="page" w:tblpX="1694" w:tblpY="4"/>
        <w:tblOverlap w:val="never"/>
        <w:tblW w:w="0" w:type="auto"/>
        <w:tblInd w:w="0" w:type="dxa"/>
        <w:tblLayout w:type="fixed"/>
        <w:tblCellMar>
          <w:top w:w="0" w:type="dxa"/>
          <w:left w:w="108" w:type="dxa"/>
          <w:bottom w:w="0" w:type="dxa"/>
          <w:right w:w="108" w:type="dxa"/>
        </w:tblCellMar>
      </w:tblPr>
      <w:tblGrid>
        <w:gridCol w:w="4440"/>
        <w:gridCol w:w="4440"/>
      </w:tblGrid>
      <w:tr w14:paraId="563563B1">
        <w:tblPrEx>
          <w:tblCellMar>
            <w:top w:w="0" w:type="dxa"/>
            <w:left w:w="108" w:type="dxa"/>
            <w:bottom w:w="0" w:type="dxa"/>
            <w:right w:w="108" w:type="dxa"/>
          </w:tblCellMar>
        </w:tblPrEx>
        <w:trPr>
          <w:trHeight w:val="2546" w:hRule="atLeast"/>
        </w:trPr>
        <w:tc>
          <w:tcPr>
            <w:tcW w:w="4440" w:type="dxa"/>
            <w:noWrap w:val="0"/>
            <w:vAlign w:val="top"/>
          </w:tcPr>
          <w:p w14:paraId="053F624A">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甲方名称（盖章）:</w:t>
            </w:r>
          </w:p>
          <w:p w14:paraId="77B81D74">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p w14:paraId="6946C61F">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3657BD84">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w:t>
            </w:r>
          </w:p>
          <w:p w14:paraId="66196B38">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50D5A8C7">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账号：</w:t>
            </w:r>
          </w:p>
        </w:tc>
        <w:tc>
          <w:tcPr>
            <w:tcW w:w="4440" w:type="dxa"/>
            <w:noWrap w:val="0"/>
            <w:vAlign w:val="top"/>
          </w:tcPr>
          <w:p w14:paraId="63E1A174">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乙方名称（盖章）:</w:t>
            </w:r>
          </w:p>
          <w:p w14:paraId="308BF26D">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地址：</w:t>
            </w:r>
          </w:p>
          <w:p w14:paraId="69DCE53F">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代表人（签字）：</w:t>
            </w:r>
          </w:p>
          <w:p w14:paraId="2E29F827">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电话：</w:t>
            </w:r>
          </w:p>
          <w:p w14:paraId="32527C33">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开户银行：</w:t>
            </w:r>
          </w:p>
          <w:p w14:paraId="22B0A1B0">
            <w:pPr>
              <w:pageBreakBefore w:val="0"/>
              <w:widowControl w:val="0"/>
              <w:kinsoku/>
              <w:wordWrap/>
              <w:overflowPunct/>
              <w:topLinePunct w:val="0"/>
              <w:bidi w:val="0"/>
              <w:adjustRightInd w:val="0"/>
              <w:snapToGrid w:val="0"/>
              <w:spacing w:line="520" w:lineRule="exact"/>
              <w:ind w:firstLine="645"/>
              <w:textAlignment w:val="auto"/>
              <w:rPr>
                <w:rFonts w:hint="eastAsia" w:ascii="宋体" w:hAnsi="宋体" w:eastAsia="宋体" w:cs="宋体"/>
                <w:kern w:val="0"/>
                <w:sz w:val="24"/>
                <w:szCs w:val="24"/>
              </w:rPr>
            </w:pPr>
            <w:r>
              <w:rPr>
                <w:rFonts w:hint="eastAsia" w:ascii="宋体" w:hAnsi="宋体" w:eastAsia="宋体" w:cs="宋体"/>
                <w:kern w:val="0"/>
                <w:sz w:val="24"/>
                <w:szCs w:val="24"/>
              </w:rPr>
              <w:t>账号：</w:t>
            </w:r>
          </w:p>
        </w:tc>
      </w:tr>
    </w:tbl>
    <w:p w14:paraId="5889D6B4">
      <w:pPr>
        <w:widowControl/>
        <w:spacing w:line="360" w:lineRule="auto"/>
        <w:rPr>
          <w:b/>
          <w:color w:val="auto"/>
          <w:sz w:val="24"/>
          <w:szCs w:val="24"/>
        </w:rPr>
      </w:pPr>
      <w:r>
        <w:rPr>
          <w:color w:val="auto"/>
          <w:sz w:val="24"/>
          <w:szCs w:val="24"/>
        </w:rPr>
        <w:t xml:space="preserve">       </w:t>
      </w:r>
    </w:p>
    <w:p w14:paraId="7ED884A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D3A8D2"/>
    <w:multiLevelType w:val="singleLevel"/>
    <w:tmpl w:val="A6D3A8D2"/>
    <w:lvl w:ilvl="0" w:tentative="0">
      <w:start w:val="1"/>
      <w:numFmt w:val="chineseCounting"/>
      <w:suff w:val="nothing"/>
      <w:lvlText w:val="%1、"/>
      <w:lvlJc w:val="left"/>
      <w:rPr>
        <w:rFonts w:hint="eastAsia"/>
      </w:rPr>
    </w:lvl>
  </w:abstractNum>
  <w:abstractNum w:abstractNumId="1">
    <w:nsid w:val="3999620F"/>
    <w:multiLevelType w:val="singleLevel"/>
    <w:tmpl w:val="3999620F"/>
    <w:lvl w:ilvl="0" w:tentative="0">
      <w:start w:val="1"/>
      <w:numFmt w:val="upperLetter"/>
      <w:pStyle w:val="3"/>
      <w:lvlText w:val="%1."/>
      <w:lvlJc w:val="left"/>
      <w:pPr>
        <w:tabs>
          <w:tab w:val="left" w:pos="4397"/>
        </w:tabs>
        <w:ind w:left="4397" w:hanging="285"/>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Y3YWNkOWRmMzdkMWY0ODgxYzQ3M2FiOTAxMTEzOTYifQ=="/>
  </w:docVars>
  <w:rsids>
    <w:rsidRoot w:val="7B870967"/>
    <w:rsid w:val="7B8709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2"/>
    <w:basedOn w:val="1"/>
    <w:next w:val="1"/>
    <w:qFormat/>
    <w:uiPriority w:val="0"/>
    <w:pPr>
      <w:keepNext/>
      <w:numPr>
        <w:ilvl w:val="0"/>
        <w:numId w:val="1"/>
      </w:numPr>
      <w:outlineLvl w:val="1"/>
    </w:p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toc 1"/>
    <w:basedOn w:val="1"/>
    <w:next w:val="1"/>
    <w:semiHidden/>
    <w:qFormat/>
    <w:uiPriority w:val="0"/>
    <w:rPr>
      <w:sz w:val="21"/>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2024-09-29T14:08:00Z</dcterms:created>
  <dc:creator>Administrator</dc:creator>
  <cp:lastModifiedBy>Administrator</cp:lastModifiedBy>
  <dcterms:modified xsi:type="dcterms:W3CDTF">2024-09-29T14:08:39Z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7A516E333B88464F96FF768700951ABC_11</vt:lpwstr>
  </property>
</Properties>
</file>