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9C1F25">
      <w:pPr>
        <w:pStyle w:val="5"/>
        <w:ind w:firstLine="652"/>
        <w:rPr>
          <w:rFonts w:hint="eastAsia" w:ascii="宋体" w:hAnsi="宋体" w:eastAsia="宋体" w:cs="宋体"/>
          <w:color w:val="auto"/>
          <w:highlight w:val="none"/>
        </w:rPr>
      </w:pPr>
      <w:r>
        <w:rPr>
          <w:rFonts w:hint="eastAsia" w:ascii="宋体" w:hAnsi="宋体" w:eastAsia="宋体" w:cs="宋体"/>
          <w:highlight w:val="none"/>
        </w:rPr>
        <w:t xml:space="preserve"> </w:t>
      </w:r>
      <w:r>
        <w:rPr>
          <w:rFonts w:hint="eastAsia" w:ascii="宋体" w:hAnsi="宋体" w:eastAsia="宋体" w:cs="宋体"/>
          <w:highlight w:val="none"/>
        </w:rPr>
        <w:br w:type="textWrapping"/>
      </w:r>
    </w:p>
    <w:p w14:paraId="4C0FA058">
      <w:pPr>
        <w:jc w:val="center"/>
        <w:rPr>
          <w:rFonts w:hint="eastAsia" w:ascii="宋体" w:hAnsi="宋体" w:eastAsia="宋体" w:cs="宋体"/>
          <w:b/>
          <w:color w:val="auto"/>
          <w:sz w:val="52"/>
          <w:szCs w:val="52"/>
          <w:highlight w:val="none"/>
        </w:rPr>
      </w:pPr>
      <w:r>
        <w:rPr>
          <w:rFonts w:hint="eastAsia" w:ascii="宋体" w:hAnsi="宋体" w:eastAsia="宋体" w:cs="宋体"/>
          <w:b/>
          <w:color w:val="auto"/>
          <w:sz w:val="72"/>
          <w:szCs w:val="52"/>
          <w:highlight w:val="none"/>
        </w:rPr>
        <w:t>建设工程施工合同</w:t>
      </w:r>
      <w:r>
        <w:rPr>
          <w:rFonts w:hint="eastAsia" w:ascii="宋体" w:hAnsi="宋体" w:eastAsia="宋体" w:cs="宋体"/>
          <w:b/>
          <w:color w:val="auto"/>
          <w:sz w:val="52"/>
          <w:szCs w:val="52"/>
          <w:highlight w:val="none"/>
        </w:rPr>
        <w:br w:type="textWrapping"/>
      </w:r>
      <w:r>
        <w:rPr>
          <w:rFonts w:hint="eastAsia" w:ascii="宋体" w:hAnsi="宋体" w:eastAsia="宋体" w:cs="宋体"/>
          <w:b/>
          <w:color w:val="auto"/>
          <w:sz w:val="52"/>
          <w:szCs w:val="52"/>
          <w:highlight w:val="none"/>
        </w:rPr>
        <w:t>（示范文本）</w:t>
      </w:r>
      <w:bookmarkStart w:id="1" w:name="_GoBack"/>
      <w:bookmarkEnd w:id="1"/>
    </w:p>
    <w:p w14:paraId="506F33D3">
      <w:pPr>
        <w:jc w:val="center"/>
        <w:rPr>
          <w:rFonts w:hint="eastAsia" w:ascii="宋体" w:hAnsi="宋体" w:eastAsia="宋体" w:cs="宋体"/>
          <w:b/>
          <w:color w:val="auto"/>
          <w:sz w:val="52"/>
          <w:szCs w:val="52"/>
          <w:highlight w:val="none"/>
        </w:rPr>
      </w:pPr>
    </w:p>
    <w:p w14:paraId="1DCFCB30">
      <w:pPr>
        <w:jc w:val="center"/>
        <w:rPr>
          <w:rFonts w:hint="eastAsia" w:ascii="宋体" w:hAnsi="宋体" w:eastAsia="宋体" w:cs="宋体"/>
          <w:b/>
          <w:color w:val="auto"/>
          <w:sz w:val="72"/>
          <w:szCs w:val="72"/>
          <w:highlight w:val="none"/>
        </w:rPr>
      </w:pPr>
    </w:p>
    <w:p w14:paraId="5FAFA052">
      <w:pPr>
        <w:rPr>
          <w:rFonts w:hint="eastAsia" w:ascii="宋体" w:hAnsi="宋体" w:eastAsia="宋体" w:cs="宋体"/>
          <w:b/>
          <w:color w:val="auto"/>
          <w:sz w:val="28"/>
          <w:szCs w:val="28"/>
          <w:highlight w:val="none"/>
        </w:rPr>
      </w:pPr>
    </w:p>
    <w:p w14:paraId="4B67A8DB">
      <w:pPr>
        <w:rPr>
          <w:rFonts w:hint="eastAsia" w:ascii="宋体" w:hAnsi="宋体" w:eastAsia="宋体" w:cs="宋体"/>
          <w:b/>
          <w:color w:val="auto"/>
          <w:sz w:val="28"/>
          <w:szCs w:val="28"/>
          <w:highlight w:val="none"/>
        </w:rPr>
      </w:pPr>
    </w:p>
    <w:p w14:paraId="331A2056">
      <w:pPr>
        <w:rPr>
          <w:rFonts w:hint="eastAsia" w:ascii="宋体" w:hAnsi="宋体" w:eastAsia="宋体" w:cs="宋体"/>
          <w:b/>
          <w:color w:val="auto"/>
          <w:sz w:val="28"/>
          <w:szCs w:val="28"/>
          <w:highlight w:val="none"/>
        </w:rPr>
      </w:pPr>
    </w:p>
    <w:p w14:paraId="6F61D35D">
      <w:pPr>
        <w:ind w:firstLine="321" w:firstLineChars="100"/>
        <w:jc w:val="left"/>
        <w:rPr>
          <w:rFonts w:hint="eastAsia" w:ascii="宋体" w:hAnsi="宋体" w:eastAsia="宋体" w:cs="宋体"/>
          <w:b/>
          <w:color w:val="auto"/>
          <w:sz w:val="32"/>
          <w:szCs w:val="28"/>
          <w:highlight w:val="none"/>
        </w:rPr>
      </w:pPr>
    </w:p>
    <w:p w14:paraId="33A080B5">
      <w:pPr>
        <w:pStyle w:val="5"/>
        <w:ind w:firstLine="652"/>
        <w:rPr>
          <w:rFonts w:hint="eastAsia" w:ascii="宋体" w:hAnsi="宋体" w:eastAsia="宋体" w:cs="宋体"/>
          <w:color w:val="auto"/>
          <w:highlight w:val="none"/>
        </w:rPr>
      </w:pPr>
    </w:p>
    <w:p w14:paraId="4F2DB3AA">
      <w:pPr>
        <w:jc w:val="center"/>
        <w:rPr>
          <w:rFonts w:hint="eastAsia" w:ascii="宋体" w:hAnsi="宋体" w:eastAsia="宋体" w:cs="宋体"/>
          <w:b/>
          <w:color w:val="auto"/>
          <w:sz w:val="32"/>
          <w:szCs w:val="28"/>
          <w:highlight w:val="none"/>
        </w:rPr>
      </w:pPr>
      <w:r>
        <w:rPr>
          <w:rFonts w:hint="eastAsia" w:ascii="宋体" w:hAnsi="宋体" w:eastAsia="宋体" w:cs="宋体"/>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3743960</wp:posOffset>
                </wp:positionH>
                <wp:positionV relativeFrom="paragraph">
                  <wp:posOffset>298450</wp:posOffset>
                </wp:positionV>
                <wp:extent cx="716280" cy="526415"/>
                <wp:effectExtent l="5080" t="5080" r="21590" b="20955"/>
                <wp:wrapNone/>
                <wp:docPr id="1" name="文本框 1"/>
                <wp:cNvGraphicFramePr/>
                <a:graphic xmlns:a="http://schemas.openxmlformats.org/drawingml/2006/main">
                  <a:graphicData uri="http://schemas.microsoft.com/office/word/2010/wordprocessingShape">
                    <wps:wsp>
                      <wps:cNvSpPr txBox="1"/>
                      <wps:spPr>
                        <a:xfrm>
                          <a:off x="0" y="0"/>
                          <a:ext cx="716280" cy="526415"/>
                        </a:xfrm>
                        <a:prstGeom prst="rect">
                          <a:avLst/>
                        </a:prstGeom>
                        <a:noFill/>
                        <a:ln w="9525" cap="flat" cmpd="sng">
                          <a:solidFill>
                            <a:srgbClr val="FFFFFF"/>
                          </a:solidFill>
                          <a:prstDash val="solid"/>
                          <a:miter/>
                          <a:headEnd type="none" w="med" len="med"/>
                          <a:tailEnd type="none" w="med" len="med"/>
                        </a:ln>
                      </wps:spPr>
                      <wps:txbx>
                        <w:txbxContent>
                          <w:p w14:paraId="3C682F2C">
                            <w:pPr>
                              <w:rPr>
                                <w:rFonts w:hint="eastAsia" w:ascii="楷体" w:hAnsi="楷体" w:eastAsia="楷体" w:cs="楷体"/>
                                <w:b/>
                                <w:bCs/>
                                <w:sz w:val="32"/>
                              </w:rPr>
                            </w:pPr>
                            <w:r>
                              <w:rPr>
                                <w:rFonts w:hint="eastAsia" w:ascii="楷体" w:hAnsi="楷体" w:eastAsia="楷体" w:cs="楷体"/>
                                <w:b/>
                                <w:bCs/>
                                <w:sz w:val="32"/>
                              </w:rPr>
                              <w:t>制定</w:t>
                            </w:r>
                          </w:p>
                          <w:p w14:paraId="4E7804CD">
                            <w:pPr>
                              <w:rPr>
                                <w:rFonts w:hint="eastAsia"/>
                              </w:rPr>
                            </w:pPr>
                          </w:p>
                        </w:txbxContent>
                      </wps:txbx>
                      <wps:bodyPr upright="1"/>
                    </wps:wsp>
                  </a:graphicData>
                </a:graphic>
              </wp:anchor>
            </w:drawing>
          </mc:Choice>
          <mc:Fallback>
            <w:pict>
              <v:shape id="_x0000_s1026" o:spid="_x0000_s1026" o:spt="202" type="#_x0000_t202" style="position:absolute;left:0pt;margin-left:294.8pt;margin-top:23.5pt;height:41.45pt;width:56.4pt;z-index:251659264;mso-width-relative:page;mso-height-relative:page;" filled="f" stroked="t" coordsize="21600,21600" o:gfxdata="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AZoc2TZAAAACgEAAA8AAAAAAAAAAQAgAAAAIgAAAGRy&#10;cy9kb3ducmV2LnhtbFBLAQIUABQAAAAIAIdO4kBoo3QpBAIAAAwEAAAOAAAAAAAAAAEAIAAAACgB&#10;AABkcnMvZTJvRG9jLnhtbFBLBQYAAAAABgAGAFkBAACeBQAAAAA=&#10;">
                <v:fill on="f" focussize="0,0"/>
                <v:stroke color="#FFFFFF" joinstyle="miter"/>
                <v:imagedata o:title=""/>
                <o:lock v:ext="edit" aspectratio="f"/>
                <v:textbox>
                  <w:txbxContent>
                    <w:p w14:paraId="3C682F2C">
                      <w:pPr>
                        <w:rPr>
                          <w:rFonts w:hint="eastAsia" w:ascii="楷体" w:hAnsi="楷体" w:eastAsia="楷体" w:cs="楷体"/>
                          <w:b/>
                          <w:bCs/>
                          <w:sz w:val="32"/>
                        </w:rPr>
                      </w:pPr>
                      <w:r>
                        <w:rPr>
                          <w:rFonts w:hint="eastAsia" w:ascii="楷体" w:hAnsi="楷体" w:eastAsia="楷体" w:cs="楷体"/>
                          <w:b/>
                          <w:bCs/>
                          <w:sz w:val="32"/>
                        </w:rPr>
                        <w:t>制定</w:t>
                      </w:r>
                    </w:p>
                    <w:p w14:paraId="4E7804CD">
                      <w:pPr>
                        <w:rPr>
                          <w:rFonts w:hint="eastAsia"/>
                        </w:rPr>
                      </w:pPr>
                    </w:p>
                  </w:txbxContent>
                </v:textbox>
              </v:shape>
            </w:pict>
          </mc:Fallback>
        </mc:AlternateContent>
      </w:r>
      <w:r>
        <w:rPr>
          <w:rFonts w:hint="eastAsia" w:ascii="宋体" w:hAnsi="宋体" w:eastAsia="宋体" w:cs="宋体"/>
          <w:b/>
          <w:color w:val="auto"/>
          <w:sz w:val="32"/>
          <w:szCs w:val="28"/>
          <w:highlight w:val="none"/>
        </w:rPr>
        <w:t>住房城乡建设部</w:t>
      </w:r>
    </w:p>
    <w:p w14:paraId="43D602F9">
      <w:pPr>
        <w:pStyle w:val="5"/>
        <w:ind w:firstLine="652"/>
        <w:rPr>
          <w:rFonts w:hint="eastAsia" w:ascii="宋体" w:hAnsi="宋体" w:eastAsia="宋体" w:cs="宋体"/>
          <w:color w:val="auto"/>
          <w:highlight w:val="none"/>
        </w:rPr>
      </w:pPr>
    </w:p>
    <w:p w14:paraId="08DE2ADE">
      <w:pPr>
        <w:jc w:val="center"/>
        <w:rPr>
          <w:rFonts w:hint="eastAsia" w:ascii="宋体" w:hAnsi="宋体" w:eastAsia="宋体" w:cs="宋体"/>
          <w:b/>
          <w:bCs/>
          <w:color w:val="auto"/>
          <w:sz w:val="28"/>
          <w:szCs w:val="28"/>
          <w:highlight w:val="none"/>
        </w:rPr>
      </w:pPr>
      <w:r>
        <w:rPr>
          <w:rFonts w:hint="eastAsia" w:ascii="宋体" w:hAnsi="宋体" w:eastAsia="宋体" w:cs="宋体"/>
          <w:b/>
          <w:color w:val="auto"/>
          <w:sz w:val="32"/>
          <w:szCs w:val="28"/>
          <w:highlight w:val="none"/>
        </w:rPr>
        <w:t>国家工商行政管理总局</w:t>
      </w:r>
    </w:p>
    <w:p w14:paraId="445CAE68">
      <w:pPr>
        <w:spacing w:line="360" w:lineRule="auto"/>
        <w:jc w:val="left"/>
        <w:rPr>
          <w:rFonts w:hint="eastAsia" w:ascii="宋体" w:hAnsi="宋体" w:eastAsia="宋体" w:cs="宋体"/>
          <w:color w:val="auto"/>
          <w:szCs w:val="24"/>
          <w:highlight w:val="none"/>
        </w:rPr>
      </w:pPr>
      <w:r>
        <w:rPr>
          <w:rFonts w:hint="eastAsia" w:ascii="宋体" w:hAnsi="宋体" w:eastAsia="宋体" w:cs="宋体"/>
          <w:b/>
          <w:color w:val="auto"/>
          <w:sz w:val="44"/>
          <w:szCs w:val="44"/>
          <w:highlight w:val="none"/>
        </w:rPr>
        <w:br w:type="page"/>
      </w:r>
      <w:r>
        <w:rPr>
          <w:rFonts w:hint="eastAsia" w:ascii="宋体" w:hAnsi="宋体" w:eastAsia="宋体" w:cs="宋体"/>
          <w:b/>
          <w:color w:val="auto"/>
          <w:sz w:val="44"/>
          <w:szCs w:val="44"/>
          <w:highlight w:val="none"/>
        </w:rPr>
        <w:t xml:space="preserve">  </w:t>
      </w:r>
      <w:r>
        <w:rPr>
          <w:rFonts w:hint="eastAsia" w:ascii="宋体" w:hAnsi="宋体" w:eastAsia="宋体" w:cs="宋体"/>
          <w:color w:val="auto"/>
          <w:szCs w:val="24"/>
          <w:highlight w:val="none"/>
        </w:rPr>
        <w:t>发包方（甲方)：</w:t>
      </w:r>
    </w:p>
    <w:p w14:paraId="6F95C58D">
      <w:pPr>
        <w:spacing w:line="360" w:lineRule="auto"/>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承包方（乙方）：</w:t>
      </w:r>
    </w:p>
    <w:p w14:paraId="6B670356">
      <w:pPr>
        <w:spacing w:line="360" w:lineRule="auto"/>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按照《中华人民共和国民法典》《中华人民共和国建筑法》等相关法律法规的规定，结合本工程具体情况，双方达成本合同：</w:t>
      </w:r>
    </w:p>
    <w:p w14:paraId="1F266BE0">
      <w:pPr>
        <w:spacing w:line="360" w:lineRule="auto"/>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【第一条】工程概况</w:t>
      </w:r>
    </w:p>
    <w:p w14:paraId="35AAA1E4">
      <w:pPr>
        <w:spacing w:line="360" w:lineRule="auto"/>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1、工程名称：</w:t>
      </w:r>
    </w:p>
    <w:p w14:paraId="2CBD3717">
      <w:pPr>
        <w:spacing w:line="360" w:lineRule="auto"/>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2、工程地点：</w:t>
      </w:r>
    </w:p>
    <w:p w14:paraId="2AF1406F">
      <w:pPr>
        <w:spacing w:line="360" w:lineRule="auto"/>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3、承包范围：</w:t>
      </w:r>
    </w:p>
    <w:p w14:paraId="7AB6CBD1">
      <w:pPr>
        <w:spacing w:line="360" w:lineRule="auto"/>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4、承包方式：由乙方承担本条第3款承包范围以内工程的施工，采用包工包料方式，包工程工期，包工程质量。</w:t>
      </w:r>
    </w:p>
    <w:p w14:paraId="00C09EC8">
      <w:pPr>
        <w:spacing w:line="360" w:lineRule="auto"/>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5、工期：</w:t>
      </w:r>
      <w:r>
        <w:rPr>
          <w:rFonts w:hint="eastAsia" w:hAnsi="宋体" w:cs="宋体"/>
          <w:b w:val="0"/>
          <w:bCs/>
          <w:color w:val="auto"/>
          <w:szCs w:val="24"/>
          <w:highlight w:val="none"/>
          <w:lang w:val="en-US" w:eastAsia="zh-CN"/>
        </w:rPr>
        <w:t>自合同签订之日起45日历天</w:t>
      </w:r>
      <w:r>
        <w:rPr>
          <w:rFonts w:hint="eastAsia" w:ascii="宋体" w:hAnsi="宋体" w:eastAsia="宋体" w:cs="宋体"/>
          <w:b w:val="0"/>
          <w:bCs/>
          <w:color w:val="auto"/>
          <w:szCs w:val="24"/>
          <w:highlight w:val="none"/>
          <w:lang w:val="en-US" w:eastAsia="zh-CN"/>
        </w:rPr>
        <w:t>。</w:t>
      </w:r>
    </w:p>
    <w:p w14:paraId="2F756D49">
      <w:pPr>
        <w:spacing w:line="360" w:lineRule="auto"/>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6、工程质量等级：合格。</w:t>
      </w:r>
    </w:p>
    <w:p w14:paraId="74B19938">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7、合同暂定价款：人民币</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元（大写：</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w:t>
      </w:r>
    </w:p>
    <w:p w14:paraId="386C6BA5">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【第二条】甲方工作</w:t>
      </w:r>
    </w:p>
    <w:p w14:paraId="0D4ECFC3">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1、负责协调处理本工程涉及的市政配套部门及当地各有关部门与施工方的配合并提供必要的施工条件。甲方未按合同约定开展以上工作而造成工期延误的，工期相应顺延。</w:t>
      </w:r>
    </w:p>
    <w:p w14:paraId="350BFB53">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2、甲方对变更或新增项目进行签证签署，乙方收到甲方签署的签证后方可实施相关变更或增项。</w:t>
      </w:r>
    </w:p>
    <w:p w14:paraId="56FF0B9B">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【第三条】乙方工作</w:t>
      </w:r>
    </w:p>
    <w:p w14:paraId="70F82789">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1、指派</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为乙方施工代表，负责合同履行，按要求组织施工，保质、保量、按期完成施工任务，解决由乙方负责的各项事宜。</w:t>
      </w:r>
    </w:p>
    <w:p w14:paraId="6004ABAE">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2、施工中未经甲方或有关部门同意不得随意拆、改原建筑结构及各种管线设备。</w:t>
      </w:r>
    </w:p>
    <w:p w14:paraId="71BFD461">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3、严格按照工程设计、工程方案和国家有关规定及标准规范施工，制定严格的防火措施，注意施工安全。</w:t>
      </w:r>
    </w:p>
    <w:p w14:paraId="1445AD57">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4、因乙方施工人员的原因，给甲方造成财产损失的，由乙方承担赔偿责任。</w:t>
      </w:r>
    </w:p>
    <w:p w14:paraId="7B56F871">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5、根据实际情况，在施工中如确需修改施工方案，应征得甲方同意。工程竣工</w:t>
      </w:r>
    </w:p>
    <w:p w14:paraId="2081F9AC">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未移交前，负责现场的一切设施和工程成品的保护。</w:t>
      </w:r>
    </w:p>
    <w:p w14:paraId="1E8DF89A">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【第四条】关于工期的约定</w:t>
      </w:r>
    </w:p>
    <w:p w14:paraId="6E9D12FA">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1、甲方要求比合同约定的工期提前竣工时，应征得乙方同意，并支付乙方因赶工而发生的合理费用。</w:t>
      </w:r>
    </w:p>
    <w:p w14:paraId="3A4D6F99">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2、因甲方未按约定完成工作，影响工期，工期顺延。</w:t>
      </w:r>
    </w:p>
    <w:p w14:paraId="1A01BDFF">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3、因乙方责任，不能按期开工或中途无故停工，工期不顺延。</w:t>
      </w:r>
    </w:p>
    <w:p w14:paraId="1F40DC78">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4、因设计变更或非乙方原因造成的停电、停水及不可抗力因素彫响，导致连续停工8小时以上，工期相应顺延。</w:t>
      </w:r>
    </w:p>
    <w:p w14:paraId="574A4AE1">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【第五条】材料采购和供应</w:t>
      </w:r>
    </w:p>
    <w:p w14:paraId="43DBCCF4">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1、本工程所需材料由乙方负责采购。乙方须按照甲方的品牌要求采购工程需要的材料，并提供产品合格证明及有关检验报告，在材料到货24小时前通知甲方代表验收。</w:t>
      </w:r>
    </w:p>
    <w:p w14:paraId="26787764">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2、材料供应问题：严格按照材料清单中确认的品牌、规格进行选购，材料到货后，由甲方代表或其授权的甲方现场管理人员对材料进行检查验收，本工程严禁使用不合格材料。</w:t>
      </w:r>
    </w:p>
    <w:p w14:paraId="3D9917B2">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【第六条】安全文明施工</w:t>
      </w:r>
    </w:p>
    <w:p w14:paraId="1B86580D">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1、施工方委派专人负责组织完成施工合同的全部内容，完成工程承包过程中与建设方接洽的一切事项，对所承包施工任务的质量、安全生产、文明施工、工程进度等管理工作进行检查和监督，并负全责。</w:t>
      </w:r>
    </w:p>
    <w:p w14:paraId="70250FCA">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2、施工方不得将工程主体内容分包，否则招标人可终止合同，且分包部分出现的任何责任及费用建设方均不予承认，均由施工方承担。</w:t>
      </w:r>
    </w:p>
    <w:p w14:paraId="6D11673A">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3、施工方在进场前签订安全责任书，坚决做好安全、消防、安全保卫工作，确保施工安全，保证安全生产，杜绝一切安全事故，若因违反国家法律法规导致的安全生产事故，施工方承担所有法律、经济责任并负责赔偿所有损失。</w:t>
      </w:r>
    </w:p>
    <w:p w14:paraId="13BB4930">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4、施工方保证施工人员必须经过安全生产培训。</w:t>
      </w:r>
    </w:p>
    <w:p w14:paraId="1D3FD1F6">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5、严格执行施工规范、安全操作规程、防火安全规定、环境保护规定。严格按照施工方案进行施工，做好各项质量检查记录。参加工程验收，编制工程结算。</w:t>
      </w:r>
    </w:p>
    <w:p w14:paraId="747EE425">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6、施工方负责对施工人员在施工前作安全教育，在施工中遵守安全操作规程。施工人员进入现场须戴好安全帽，高空作业应穿防滑鞋、系好安全带，配带齐有效安全防护用品，杜绝意外事故发生。</w:t>
      </w:r>
    </w:p>
    <w:p w14:paraId="7E347B06">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【第七条】关于工程质量及验收的约定</w:t>
      </w:r>
    </w:p>
    <w:p w14:paraId="0DB5CA77">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1、工程质量标准</w:t>
      </w:r>
    </w:p>
    <w:p w14:paraId="7F192AC1">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本工程完工后，工程质量必须达到合格标淮，双方对工程质量如有争议，可请有关质量监督部门仲裁，仲裁费用及因此造成的损失，由败诉方承担。</w:t>
      </w:r>
    </w:p>
    <w:p w14:paraId="52A2E5AA">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2、隐蔽验收和重新检验</w:t>
      </w:r>
    </w:p>
    <w:p w14:paraId="1E12B724">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隐蔽工程竣工后，乙方应通知甲方进行隐蔽工程验收，甲方自接到隐蔽工程</w:t>
      </w:r>
    </w:p>
    <w:p w14:paraId="2D594CDA">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验收通知之日起2个日历日内组织验收，验收合格后签署隐蔽工程竣工验收报告。如甲方在规定时间内未能组织验收，需及时通知乙方，另定验收日期。</w:t>
      </w:r>
    </w:p>
    <w:p w14:paraId="4A49A26B">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甲方项目负责人进行验收时，如提出对隐蔽工程重新检验的要求，乙方应按要求进行剥露，并在检验后重新进行覆盖或修复。检验合格，甲方承担由此发生的经济支出，补偿乙方相应的损失并相应顺延工期；检验不合格，乙方进行返工并承担发生的费用，工期不予顺延。</w:t>
      </w:r>
    </w:p>
    <w:p w14:paraId="5C6704ED">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3、竣工验收</w:t>
      </w:r>
    </w:p>
    <w:p w14:paraId="4FA2D531">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工程具备竣工验收条件，乙方按国家工程竣工有关规定，向甲方项目负责人提供完整的竣工资料和竣工验收报告。甲方收到竣工验收报告后，在3个日历日内组织验收，并在验收后7个日历日内给予批准或提出修改意见，乙方按要求进行修改，并承担由自身原因造成修改的费用。如甲方在规定时间内未能组织验收，需及时通知乙方，另定验收日期。</w:t>
      </w:r>
    </w:p>
    <w:p w14:paraId="4943A174">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竣工日期为甲方在乙方送交竣工验收报告上签字的日期，需修改后才能达到</w:t>
      </w:r>
    </w:p>
    <w:p w14:paraId="35CAE6B1">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竣工要求的，竣工日期应为乙方修改后提请甲方验收且甲方签字的日期。</w:t>
      </w:r>
    </w:p>
    <w:p w14:paraId="4CE82256">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【第八条】关于工程结算支付的约定</w:t>
      </w:r>
    </w:p>
    <w:p w14:paraId="4E0BB244">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1、本工程计价方式为固定总价。如需增加项目及工程量，以变更增项签证形式确认新增金额，并随进度款支付。</w:t>
      </w:r>
    </w:p>
    <w:p w14:paraId="684F9F29">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2、工程价款支付</w:t>
      </w:r>
    </w:p>
    <w:p w14:paraId="350F2516">
      <w:pPr>
        <w:pStyle w:val="2"/>
        <w:spacing w:after="0" w:line="360" w:lineRule="auto"/>
        <w:ind w:firstLine="480" w:firstLineChars="20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付款方式：</w:t>
      </w:r>
      <w:r>
        <w:rPr>
          <w:rFonts w:hint="eastAsia" w:ascii="宋体" w:hAnsi="宋体" w:cs="宋体"/>
          <w:sz w:val="24"/>
          <w:szCs w:val="24"/>
          <w:highlight w:val="none"/>
          <w:lang w:val="en-US" w:eastAsia="zh-CN" w:bidi="ar-SA"/>
        </w:rPr>
        <w:t>开工前，发包人向承包人支付 40%的预付款。发包人应按照合同约定，根据承包人的施工进度拨付进度款，进度款为合同总金额的 40%。工程完工后,验收质量合格,经第三方审计机构工程造价审核后支付剩余尾款。</w:t>
      </w:r>
    </w:p>
    <w:p w14:paraId="4357EFB0">
      <w:pPr>
        <w:pStyle w:val="2"/>
        <w:spacing w:after="0"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如因供应商责任而造成延期，每超过一天按合同总价款的5‰支付采购人误期赔偿金。</w:t>
      </w:r>
    </w:p>
    <w:p w14:paraId="26EB2E87">
      <w:pPr>
        <w:tabs>
          <w:tab w:val="left" w:pos="463"/>
        </w:tabs>
        <w:spacing w:line="360" w:lineRule="auto"/>
        <w:jc w:val="left"/>
        <w:rPr>
          <w:rFonts w:hint="eastAsia" w:ascii="宋体" w:hAnsi="宋体" w:eastAsia="宋体" w:cs="宋体"/>
          <w:szCs w:val="24"/>
          <w:highlight w:val="none"/>
        </w:rPr>
      </w:pPr>
      <w:r>
        <w:rPr>
          <w:rFonts w:hint="eastAsia" w:ascii="宋体" w:hAnsi="宋体" w:eastAsia="宋体" w:cs="宋体"/>
          <w:szCs w:val="24"/>
          <w:highlight w:val="none"/>
        </w:rPr>
        <w:tab/>
      </w:r>
      <w:r>
        <w:rPr>
          <w:rFonts w:hint="eastAsia" w:ascii="宋体" w:hAnsi="宋体" w:eastAsia="宋体" w:cs="宋体"/>
          <w:szCs w:val="24"/>
          <w:highlight w:val="none"/>
        </w:rPr>
        <w:t>3、甲方验证乙方开具的增值税专用发票成功后通过银行转账支付费用（发票上</w:t>
      </w:r>
    </w:p>
    <w:p w14:paraId="370E0D5C">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应清楚列明其中各项收费内容、增值税金额等相关的金额）。该价款已包含了甲方订立、履行本协议所须支付的税项（包括但不限于增值税或其他任何因履行合同需由乙方承担相关税费），除非双方另有书面文件约定，甲方不再支付任何其他费用。</w:t>
      </w:r>
    </w:p>
    <w:p w14:paraId="4DAE7068">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乙方开具的增值税专用发票，应派遣专人或使用挂号信或者具有良好信誉的特快专递在发票开具后及时送达甲方，甲方签收日期即为送达日期。如逾期送达导致甲方损失的，乙方承担直接经济损失及违约责任。</w:t>
      </w:r>
    </w:p>
    <w:p w14:paraId="3F6EA3D8">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如乙方开具的发票不规范、不合法或涉嫌虚开，应承担因此造成甲方的损失</w:t>
      </w:r>
    </w:p>
    <w:p w14:paraId="7A4ECB33">
      <w:pPr>
        <w:spacing w:line="360" w:lineRule="auto"/>
        <w:jc w:val="left"/>
        <w:rPr>
          <w:rFonts w:hint="eastAsia" w:ascii="宋体" w:hAnsi="宋体" w:eastAsia="宋体" w:cs="宋体"/>
          <w:szCs w:val="24"/>
          <w:highlight w:val="none"/>
        </w:rPr>
      </w:pPr>
      <w:r>
        <w:rPr>
          <w:rFonts w:hint="eastAsia" w:ascii="宋体" w:hAnsi="宋体" w:eastAsia="宋体" w:cs="宋体"/>
          <w:szCs w:val="24"/>
          <w:highlight w:val="none"/>
        </w:rPr>
        <w:t>赔偿责任，并补充提供合规的发票。其损失赔偿责任不因合同履行完毕而终止。</w:t>
      </w:r>
    </w:p>
    <w:p w14:paraId="7E4B8EEC">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3、甲方开票信息及乙方账户信息：</w:t>
      </w:r>
    </w:p>
    <w:p w14:paraId="567C73E3">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（1）甲方开票信息：</w:t>
      </w:r>
    </w:p>
    <w:p w14:paraId="7E532A97">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纳税人名称：</w:t>
      </w:r>
    </w:p>
    <w:p w14:paraId="23E670AB">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税 号：</w:t>
      </w:r>
    </w:p>
    <w:p w14:paraId="704E1AAD">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地 址：</w:t>
      </w:r>
    </w:p>
    <w:p w14:paraId="5BA9BAA2">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开户银行名称：</w:t>
      </w:r>
    </w:p>
    <w:p w14:paraId="1E7E58BD">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开户行账号：</w:t>
      </w:r>
    </w:p>
    <w:p w14:paraId="33ABFAF1">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联系电话：</w:t>
      </w:r>
    </w:p>
    <w:p w14:paraId="77B8DCFC">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（2）乙方账户信息</w:t>
      </w:r>
    </w:p>
    <w:p w14:paraId="5CCCA8FF">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户 名：</w:t>
      </w:r>
    </w:p>
    <w:p w14:paraId="71778FAC">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开户行：</w:t>
      </w:r>
    </w:p>
    <w:p w14:paraId="5101912D">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账 号：</w:t>
      </w:r>
    </w:p>
    <w:p w14:paraId="1AC0835F">
      <w:pPr>
        <w:spacing w:line="360" w:lineRule="auto"/>
        <w:ind w:firstLine="480" w:firstLineChars="200"/>
        <w:jc w:val="left"/>
        <w:rPr>
          <w:rFonts w:hint="eastAsia" w:ascii="宋体" w:hAnsi="宋体" w:eastAsia="宋体" w:cs="宋体"/>
          <w:sz w:val="24"/>
          <w:szCs w:val="24"/>
          <w:highlight w:val="none"/>
          <w:lang w:val="en-US" w:eastAsia="zh-CN" w:bidi="ar-SA"/>
        </w:rPr>
      </w:pPr>
      <w:r>
        <w:rPr>
          <w:rFonts w:hint="eastAsia" w:ascii="宋体" w:hAnsi="宋体" w:eastAsia="宋体" w:cs="宋体"/>
          <w:szCs w:val="24"/>
          <w:highlight w:val="none"/>
        </w:rPr>
        <w:t>【第九条】工程质量保修</w:t>
      </w:r>
    </w:p>
    <w:p w14:paraId="617098A2">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lang w:eastAsia="zh-CN"/>
        </w:rPr>
        <w:t>保修期</w:t>
      </w:r>
      <w:r>
        <w:rPr>
          <w:rFonts w:hint="eastAsia" w:ascii="宋体" w:hAnsi="宋体" w:eastAsia="宋体" w:cs="宋体"/>
          <w:szCs w:val="24"/>
          <w:highlight w:val="none"/>
        </w:rPr>
        <w:t>从工程竣工验收合格之日起起算。</w:t>
      </w:r>
    </w:p>
    <w:p w14:paraId="510E20BC">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保修期间，乙方应在接到修理通知30分钟给予响应，6小时内派维修人员到达现场。若乙方未及时响应并维修，甲方可另行寻找专业人士进行维修，相关费用由乙方承担。</w:t>
      </w:r>
    </w:p>
    <w:p w14:paraId="57F6AC71">
      <w:pPr>
        <w:numPr>
          <w:ilvl w:val="0"/>
          <w:numId w:val="1"/>
        </w:num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甲方应在保修期满后，将剩余保修金退还乙方，保修金不计利息；在</w:t>
      </w:r>
      <w:r>
        <w:rPr>
          <w:rFonts w:hint="eastAsia" w:ascii="宋体" w:hAnsi="宋体" w:eastAsia="宋体" w:cs="宋体"/>
          <w:szCs w:val="24"/>
          <w:highlight w:val="none"/>
          <w:lang w:eastAsia="zh-CN"/>
        </w:rPr>
        <w:t>缺陷责任期</w:t>
      </w:r>
      <w:r>
        <w:rPr>
          <w:rFonts w:hint="eastAsia" w:ascii="宋体" w:hAnsi="宋体" w:eastAsia="宋体" w:cs="宋体"/>
          <w:szCs w:val="24"/>
          <w:highlight w:val="none"/>
        </w:rPr>
        <w:t>内，如因乙方未及时维修造成甲方支付维修费用的，该费用在乙方保修金中扣除，超过保修金额的，不足部分由乙方交付。</w:t>
      </w:r>
    </w:p>
    <w:p w14:paraId="698CE601">
      <w:pPr>
        <w:numPr>
          <w:ilvl w:val="0"/>
          <w:numId w:val="1"/>
        </w:num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本工程缺陷责任期为一年，自竣工验收合格之日起算。</w:t>
      </w:r>
    </w:p>
    <w:p w14:paraId="35BE9A03">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【第十条】争议、违约</w:t>
      </w:r>
    </w:p>
    <w:p w14:paraId="22A041D6">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1、争议</w:t>
      </w:r>
    </w:p>
    <w:p w14:paraId="38107732">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合同执行过程中，如发生争议，双方应本着友好合作的原则协商解快，协商不能解决时，双方可申请由</w:t>
      </w:r>
      <w:r>
        <w:rPr>
          <w:rFonts w:hint="eastAsia" w:hAnsi="宋体" w:cs="宋体"/>
          <w:szCs w:val="24"/>
          <w:highlight w:val="none"/>
          <w:lang w:val="en-US" w:eastAsia="zh-CN"/>
        </w:rPr>
        <w:t>铜川市</w:t>
      </w:r>
      <w:r>
        <w:rPr>
          <w:rFonts w:hint="eastAsia" w:ascii="宋体" w:hAnsi="宋体" w:eastAsia="宋体" w:cs="宋体"/>
          <w:szCs w:val="24"/>
          <w:highlight w:val="none"/>
        </w:rPr>
        <w:t>仲裁委员会仲裁。</w:t>
      </w:r>
    </w:p>
    <w:p w14:paraId="27690CE8">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发生争议后，双方都应继续履行合同，保持工程的连续性，保护好己完工程。</w:t>
      </w:r>
    </w:p>
    <w:p w14:paraId="0C2DAE75">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2、违约</w:t>
      </w:r>
    </w:p>
    <w:p w14:paraId="21AE21E6">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甲方不能及时给出必要的指令、确认等，未按合同约定履行自己的各项义务、支付款项及发生其它使合同无法履行的行为，甲方应承担违约责任：乙方不能按合同工期竣工，施工质量达不到本合同的要求，或发生其它使合同无法履行的行为，乙方应承担违约责任，赔偿因其违约给甲方造成的经济损失。</w:t>
      </w:r>
    </w:p>
    <w:p w14:paraId="53BD33B7">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双方协商一致，本合同方可终止。如因任何一方违约致使本合同无法正常履行的，违约方除承担上述违约责任后应继续履行本合同。</w:t>
      </w:r>
    </w:p>
    <w:p w14:paraId="3AF5DF76">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【第十一条】反商业贿赂及康洁条款</w:t>
      </w:r>
    </w:p>
    <w:p w14:paraId="22606B1F">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1、合同双方承诺：合同双方都清楚并愿意严格遵守中华人民共和国有关反商业贿赂的法律规定和廉洁从业的行业规范以及行业普遍遵守的职业道德和行为准则，坚决拒绝商业贿赂、行贿及其他不正当之商业行为及违反廉洁从业的行为，双方都清楚任何违反廉洁自律要求的行为都将受到惩处。</w:t>
      </w:r>
    </w:p>
    <w:p w14:paraId="5D8C4A7B">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2、合同双方明确：合同双方及其工作人员或委托人员均不得利用职务便利向对方/其他方及其工作人员或委托人员索要、收受、提供、给予合同约定外的任何利益，既包括金钱利益和实物利益，也包括可以用金钱计算数额的财产性利益，包括但不限于：</w:t>
      </w:r>
    </w:p>
    <w:p w14:paraId="723BFDCE">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（1）提供礼金、礼品、房产、汽车、有价证券、股权、佣金返还等财物，或者为上述行为提供代持等便利：</w:t>
      </w:r>
    </w:p>
    <w:p w14:paraId="3DEDA8B1">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（2）提供旅游、宴请、娱乐健身、工作安排等利益：</w:t>
      </w:r>
    </w:p>
    <w:p w14:paraId="7987F16B">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（3）安排显著偏离公允价格的高收益等交易；</w:t>
      </w:r>
    </w:p>
    <w:p w14:paraId="02462623">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（4）直接或者间接向他人提供内幕信息、未公开信息、商业秘密和客户信息，明示或者暗示他人从事相关交易活动；</w:t>
      </w:r>
    </w:p>
    <w:p w14:paraId="0E7B0747">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（5）其他输送不正当利益的情形。</w:t>
      </w:r>
    </w:p>
    <w:p w14:paraId="5D32855B">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3、如一方工作人员或其委托人员主动向对方索（行）贿或索取（给予）不正当利益，被索方（被给予方）有权向其内部相关职能部门或向相关行政主管部门实名举报，并提供相关证据，配合该方对其工作人员或委托人员的查处。</w:t>
      </w:r>
    </w:p>
    <w:p w14:paraId="527750E5">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4、合同双方同意：若一方违反前述承诺需承担法律后果，同时对方/其他方有权采取如下措施追究其相应责任：</w:t>
      </w:r>
    </w:p>
    <w:p w14:paraId="70405289">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(1）立即终止本合同且无需承担违约责任；</w:t>
      </w:r>
    </w:p>
    <w:p w14:paraId="52C3EB34">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(2）向任何第三方披露、或向社会公开其违法违规行为；</w:t>
      </w:r>
    </w:p>
    <w:p w14:paraId="662DFA3F">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(3）要求其按照本合同总金额的30%或其索取(收受）任何形式不正当利益总金额(以两者较高者为准）计算支付违约金和赔偿由此造成的实际损失；</w:t>
      </w:r>
    </w:p>
    <w:p w14:paraId="6061FA82">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(4）提请行政主管机关依法追究其行政责任，或提请司法机关依法追究其刑事责任。</w:t>
      </w:r>
    </w:p>
    <w:p w14:paraId="6139E3B3">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【第十二条】附则</w:t>
      </w:r>
    </w:p>
    <w:p w14:paraId="516C5A4B">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1、本合同壹式肆份，甲、乙双方各执贰份，经甲乙双方签字盖章后生效。</w:t>
      </w:r>
    </w:p>
    <w:p w14:paraId="27FDF894">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2、合同中未尽事宜，甲乙双方应协商解决。合同在执行中双方共同确认的各种文件材料均为本合同的附件，与本合同具有同等法律效力。</w:t>
      </w:r>
    </w:p>
    <w:p w14:paraId="50FBCA3C">
      <w:pPr>
        <w:spacing w:line="360" w:lineRule="auto"/>
        <w:ind w:firstLine="480" w:firstLineChars="200"/>
        <w:jc w:val="left"/>
        <w:outlineLvl w:val="0"/>
        <w:rPr>
          <w:rFonts w:hint="eastAsia" w:ascii="宋体" w:hAnsi="宋体" w:eastAsia="宋体" w:cs="宋体"/>
          <w:szCs w:val="24"/>
          <w:highlight w:val="none"/>
        </w:rPr>
      </w:pPr>
      <w:bookmarkStart w:id="0" w:name="_Toc14843"/>
      <w:r>
        <w:rPr>
          <w:rFonts w:hint="eastAsia" w:ascii="宋体" w:hAnsi="宋体" w:eastAsia="宋体" w:cs="宋体"/>
          <w:szCs w:val="24"/>
          <w:highlight w:val="none"/>
        </w:rPr>
        <w:t>附件1：项目经理委任书</w:t>
      </w:r>
      <w:bookmarkEnd w:id="0"/>
    </w:p>
    <w:p w14:paraId="182F6415">
      <w:pPr>
        <w:spacing w:line="360" w:lineRule="auto"/>
        <w:ind w:firstLine="480" w:firstLineChars="200"/>
        <w:jc w:val="left"/>
        <w:rPr>
          <w:rFonts w:hint="eastAsia" w:ascii="宋体" w:hAnsi="宋体" w:eastAsia="宋体" w:cs="宋体"/>
          <w:szCs w:val="24"/>
          <w:highlight w:val="none"/>
        </w:rPr>
      </w:pPr>
    </w:p>
    <w:p w14:paraId="30719CFE">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甲方（盖章）：                           乙方（盖章）：</w:t>
      </w:r>
    </w:p>
    <w:p w14:paraId="6221B629">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法定代表人或授权代理人：                法定代表人或授权代理人：</w:t>
      </w:r>
    </w:p>
    <w:p w14:paraId="45276879">
      <w:pPr>
        <w:spacing w:line="360" w:lineRule="auto"/>
        <w:ind w:firstLine="960" w:firstLineChars="400"/>
        <w:rPr>
          <w:rFonts w:hint="eastAsia" w:ascii="宋体" w:hAnsi="宋体" w:eastAsia="宋体" w:cs="宋体"/>
          <w:b/>
          <w:bCs/>
          <w:szCs w:val="24"/>
          <w:highlight w:val="none"/>
        </w:rPr>
      </w:pPr>
      <w:r>
        <w:rPr>
          <w:rFonts w:hint="eastAsia" w:ascii="宋体" w:hAnsi="宋体" w:eastAsia="宋体" w:cs="宋体"/>
          <w:szCs w:val="24"/>
          <w:highlight w:val="none"/>
        </w:rPr>
        <w:t>年    月   日                             年    月   日</w:t>
      </w:r>
    </w:p>
    <w:p w14:paraId="4D87BE04">
      <w:pPr>
        <w:spacing w:line="360" w:lineRule="auto"/>
        <w:jc w:val="left"/>
        <w:rPr>
          <w:rFonts w:hint="eastAsia" w:ascii="宋体" w:hAnsi="宋体" w:eastAsia="宋体" w:cs="宋体"/>
          <w:szCs w:val="24"/>
          <w:highlight w:val="none"/>
        </w:rPr>
      </w:pPr>
    </w:p>
    <w:p w14:paraId="30D70A3F">
      <w:pPr>
        <w:spacing w:line="360" w:lineRule="auto"/>
        <w:jc w:val="left"/>
        <w:rPr>
          <w:rFonts w:hint="eastAsia" w:ascii="宋体" w:hAnsi="宋体" w:eastAsia="宋体" w:cs="宋体"/>
          <w:szCs w:val="24"/>
          <w:highlight w:val="none"/>
        </w:rPr>
      </w:pPr>
    </w:p>
    <w:p w14:paraId="3609B794">
      <w:pPr>
        <w:rPr>
          <w:rFonts w:hint="eastAsia" w:ascii="宋体" w:hAnsi="宋体" w:eastAsia="宋体" w:cs="宋体"/>
          <w:szCs w:val="24"/>
          <w:highlight w:val="none"/>
        </w:rPr>
      </w:pPr>
      <w:r>
        <w:rPr>
          <w:rFonts w:hint="eastAsia" w:ascii="宋体" w:hAnsi="宋体" w:eastAsia="宋体" w:cs="宋体"/>
          <w:szCs w:val="24"/>
          <w:highlight w:val="none"/>
        </w:rPr>
        <w:br w:type="page"/>
      </w:r>
    </w:p>
    <w:p w14:paraId="47A8F468">
      <w:pPr>
        <w:spacing w:line="360" w:lineRule="auto"/>
        <w:jc w:val="left"/>
        <w:rPr>
          <w:rFonts w:hint="eastAsia" w:ascii="宋体" w:hAnsi="宋体" w:eastAsia="宋体" w:cs="宋体"/>
          <w:szCs w:val="24"/>
          <w:highlight w:val="none"/>
        </w:rPr>
      </w:pPr>
      <w:r>
        <w:rPr>
          <w:rFonts w:hint="eastAsia" w:ascii="宋体" w:hAnsi="宋体" w:eastAsia="宋体" w:cs="宋体"/>
          <w:szCs w:val="24"/>
          <w:highlight w:val="none"/>
        </w:rPr>
        <w:t>附件1：项目经理委托书</w:t>
      </w:r>
    </w:p>
    <w:p w14:paraId="76FD0E83">
      <w:pPr>
        <w:spacing w:line="360" w:lineRule="auto"/>
        <w:jc w:val="center"/>
        <w:rPr>
          <w:rFonts w:hint="eastAsia" w:ascii="宋体" w:hAnsi="宋体" w:eastAsia="宋体" w:cs="宋体"/>
          <w:szCs w:val="24"/>
          <w:highlight w:val="none"/>
        </w:rPr>
      </w:pPr>
    </w:p>
    <w:p w14:paraId="0D0543D5">
      <w:pPr>
        <w:spacing w:line="360" w:lineRule="auto"/>
        <w:jc w:val="center"/>
        <w:rPr>
          <w:rFonts w:hint="eastAsia" w:ascii="宋体" w:hAnsi="宋体" w:eastAsia="宋体" w:cs="宋体"/>
          <w:szCs w:val="24"/>
          <w:highlight w:val="none"/>
        </w:rPr>
      </w:pP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公司</w:t>
      </w:r>
    </w:p>
    <w:p w14:paraId="2506093E">
      <w:pPr>
        <w:spacing w:line="360" w:lineRule="auto"/>
        <w:jc w:val="center"/>
        <w:rPr>
          <w:rFonts w:hint="eastAsia" w:ascii="宋体" w:hAnsi="宋体" w:eastAsia="宋体" w:cs="宋体"/>
          <w:szCs w:val="24"/>
          <w:highlight w:val="none"/>
        </w:rPr>
      </w:pPr>
      <w:r>
        <w:rPr>
          <w:rFonts w:hint="eastAsia" w:ascii="宋体" w:hAnsi="宋体" w:eastAsia="宋体" w:cs="宋体"/>
          <w:szCs w:val="24"/>
          <w:highlight w:val="none"/>
          <w:u w:val="single"/>
        </w:rPr>
        <w:t xml:space="preserve">                                          项目</w:t>
      </w:r>
      <w:r>
        <w:rPr>
          <w:rFonts w:hint="eastAsia" w:ascii="宋体" w:hAnsi="宋体" w:eastAsia="宋体" w:cs="宋体"/>
          <w:szCs w:val="24"/>
          <w:highlight w:val="none"/>
        </w:rPr>
        <w:t>项目经理</w:t>
      </w:r>
    </w:p>
    <w:p w14:paraId="32EBBCB4">
      <w:pPr>
        <w:spacing w:line="360" w:lineRule="auto"/>
        <w:jc w:val="center"/>
        <w:rPr>
          <w:rFonts w:hint="eastAsia" w:ascii="宋体" w:hAnsi="宋体" w:eastAsia="宋体" w:cs="宋体"/>
          <w:szCs w:val="24"/>
          <w:highlight w:val="none"/>
        </w:rPr>
      </w:pPr>
      <w:r>
        <w:rPr>
          <w:rFonts w:hint="eastAsia" w:ascii="宋体" w:hAnsi="宋体" w:eastAsia="宋体" w:cs="宋体"/>
          <w:szCs w:val="24"/>
          <w:highlight w:val="none"/>
        </w:rPr>
        <w:t>委任书</w:t>
      </w:r>
    </w:p>
    <w:p w14:paraId="0E0DF5B2">
      <w:pPr>
        <w:spacing w:line="360" w:lineRule="auto"/>
        <w:jc w:val="left"/>
        <w:rPr>
          <w:rFonts w:hint="eastAsia" w:ascii="宋体" w:hAnsi="宋体" w:eastAsia="宋体" w:cs="宋体"/>
          <w:szCs w:val="24"/>
          <w:highlight w:val="none"/>
        </w:rPr>
      </w:pPr>
    </w:p>
    <w:p w14:paraId="4F5B4F88">
      <w:pPr>
        <w:spacing w:line="360" w:lineRule="auto"/>
        <w:jc w:val="left"/>
        <w:rPr>
          <w:rFonts w:hint="eastAsia" w:ascii="宋体" w:hAnsi="宋体" w:eastAsia="宋体" w:cs="宋体"/>
          <w:szCs w:val="24"/>
          <w:highlight w:val="none"/>
        </w:rPr>
      </w:pP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w:t>
      </w:r>
    </w:p>
    <w:p w14:paraId="50DA6571">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u w:val="single"/>
        </w:rPr>
        <w:t xml:space="preserve">                  公司</w:t>
      </w:r>
      <w:r>
        <w:rPr>
          <w:rFonts w:hint="eastAsia" w:ascii="宋体" w:hAnsi="宋体" w:eastAsia="宋体" w:cs="宋体"/>
          <w:szCs w:val="24"/>
          <w:highlight w:val="none"/>
        </w:rPr>
        <w:t>法定代表人（</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lang w:eastAsia="zh-CN"/>
        </w:rPr>
        <w:t>）</w:t>
      </w:r>
      <w:r>
        <w:rPr>
          <w:rFonts w:hint="eastAsia" w:ascii="宋体" w:hAnsi="宋体" w:eastAsia="宋体" w:cs="宋体"/>
          <w:szCs w:val="24"/>
          <w:highlight w:val="none"/>
        </w:rPr>
        <w:t>代表本单位委任（</w:t>
      </w:r>
      <w:r>
        <w:rPr>
          <w:rFonts w:hint="eastAsia" w:ascii="宋体" w:hAnsi="宋体" w:eastAsia="宋体" w:cs="宋体"/>
          <w:szCs w:val="24"/>
          <w:highlight w:val="none"/>
          <w:u w:val="single"/>
          <w:lang w:eastAsia="zh-CN"/>
        </w:rPr>
        <w:t>项目经理：</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为</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项目工程的项目经理，凡本合同执行的有关技术、安全、工程进度、现场管理、质量检验、结算与支付等方面工作均由项目经理</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代表本单位全面负责。</w:t>
      </w:r>
    </w:p>
    <w:p w14:paraId="731D5EC1">
      <w:pPr>
        <w:spacing w:line="360" w:lineRule="auto"/>
        <w:jc w:val="left"/>
        <w:rPr>
          <w:rFonts w:hint="eastAsia" w:ascii="宋体" w:hAnsi="宋体" w:eastAsia="宋体" w:cs="宋体"/>
          <w:szCs w:val="24"/>
          <w:highlight w:val="none"/>
        </w:rPr>
      </w:pPr>
    </w:p>
    <w:p w14:paraId="0AAC9E93">
      <w:pPr>
        <w:spacing w:line="360" w:lineRule="auto"/>
        <w:jc w:val="left"/>
        <w:rPr>
          <w:rFonts w:hint="eastAsia" w:ascii="宋体" w:hAnsi="宋体" w:eastAsia="宋体" w:cs="宋体"/>
          <w:szCs w:val="24"/>
          <w:highlight w:val="none"/>
        </w:rPr>
      </w:pPr>
    </w:p>
    <w:p w14:paraId="5DC0DAFD">
      <w:pPr>
        <w:spacing w:line="360" w:lineRule="auto"/>
        <w:ind w:firstLine="2640" w:firstLineChars="1100"/>
        <w:jc w:val="left"/>
        <w:rPr>
          <w:rFonts w:hint="eastAsia" w:ascii="宋体" w:hAnsi="宋体" w:eastAsia="宋体" w:cs="宋体"/>
          <w:szCs w:val="24"/>
          <w:highlight w:val="none"/>
        </w:rPr>
      </w:pPr>
      <w:r>
        <w:rPr>
          <w:rFonts w:hint="eastAsia" w:ascii="宋体" w:hAnsi="宋体" w:eastAsia="宋体" w:cs="宋体"/>
          <w:szCs w:val="24"/>
          <w:highlight w:val="none"/>
        </w:rPr>
        <w:t>承 包 人：</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（盖单位章）</w:t>
      </w:r>
    </w:p>
    <w:p w14:paraId="309C40BB">
      <w:pPr>
        <w:spacing w:line="360" w:lineRule="auto"/>
        <w:jc w:val="left"/>
        <w:rPr>
          <w:rFonts w:hint="eastAsia" w:ascii="宋体" w:hAnsi="宋体" w:eastAsia="宋体" w:cs="宋体"/>
          <w:szCs w:val="24"/>
          <w:highlight w:val="none"/>
        </w:rPr>
      </w:pPr>
    </w:p>
    <w:p w14:paraId="21118968">
      <w:pPr>
        <w:spacing w:line="360" w:lineRule="auto"/>
        <w:ind w:firstLine="2640" w:firstLineChars="1100"/>
        <w:jc w:val="left"/>
        <w:rPr>
          <w:rFonts w:hint="eastAsia" w:ascii="宋体" w:hAnsi="宋体" w:eastAsia="宋体" w:cs="宋体"/>
          <w:szCs w:val="24"/>
          <w:highlight w:val="none"/>
          <w:u w:val="single"/>
          <w:lang w:eastAsia="zh-CN"/>
        </w:rPr>
      </w:pPr>
      <w:r>
        <w:rPr>
          <w:rFonts w:hint="eastAsia" w:ascii="宋体" w:hAnsi="宋体" w:eastAsia="宋体" w:cs="宋体"/>
          <w:szCs w:val="24"/>
          <w:highlight w:val="none"/>
        </w:rPr>
        <w:t>法定代表人：</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none"/>
          <w:lang w:eastAsia="zh-CN"/>
        </w:rPr>
        <w:t>（</w:t>
      </w:r>
      <w:r>
        <w:rPr>
          <w:rFonts w:hint="eastAsia" w:ascii="宋体" w:hAnsi="宋体" w:eastAsia="宋体" w:cs="宋体"/>
          <w:szCs w:val="24"/>
          <w:highlight w:val="none"/>
          <w:u w:val="none"/>
          <w:lang w:val="en-US" w:eastAsia="zh-CN"/>
        </w:rPr>
        <w:t>签字或盖章</w:t>
      </w:r>
      <w:r>
        <w:rPr>
          <w:rFonts w:hint="eastAsia" w:ascii="宋体" w:hAnsi="宋体" w:eastAsia="宋体" w:cs="宋体"/>
          <w:szCs w:val="24"/>
          <w:highlight w:val="none"/>
          <w:u w:val="none"/>
          <w:lang w:eastAsia="zh-CN"/>
        </w:rPr>
        <w:t>）</w:t>
      </w:r>
    </w:p>
    <w:p w14:paraId="107B0B7C">
      <w:pPr>
        <w:spacing w:line="360" w:lineRule="auto"/>
        <w:jc w:val="left"/>
        <w:rPr>
          <w:rFonts w:hint="eastAsia" w:ascii="宋体" w:hAnsi="宋体" w:eastAsia="宋体" w:cs="宋体"/>
          <w:szCs w:val="24"/>
          <w:highlight w:val="none"/>
        </w:rPr>
      </w:pPr>
    </w:p>
    <w:p w14:paraId="24EFD003">
      <w:pPr>
        <w:ind w:firstLine="2640" w:firstLineChars="1100"/>
        <w:rPr>
          <w:rFonts w:hint="eastAsia" w:ascii="宋体" w:hAnsi="宋体" w:eastAsia="宋体" w:cs="宋体"/>
          <w:highlight w:val="none"/>
        </w:rPr>
      </w:pPr>
      <w:r>
        <w:rPr>
          <w:rFonts w:hint="eastAsia" w:ascii="宋体" w:hAnsi="宋体" w:eastAsia="宋体" w:cs="宋体"/>
          <w:szCs w:val="24"/>
          <w:highlight w:val="none"/>
        </w:rPr>
        <w:t>日    期：</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年</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731590C7">
      <w:pPr>
        <w:pStyle w:val="8"/>
        <w:rPr>
          <w:rFonts w:hint="eastAsia" w:ascii="宋体" w:hAnsi="宋体" w:eastAsia="宋体" w:cs="宋体"/>
          <w:highlight w:val="none"/>
          <w:lang w:val="en-US" w:eastAsia="zh-Hans"/>
        </w:rPr>
      </w:pPr>
    </w:p>
    <w:p w14:paraId="60E66901">
      <w:pPr>
        <w:rPr>
          <w:highlight w:val="none"/>
        </w:rPr>
      </w:pPr>
    </w:p>
    <w:p w14:paraId="26DDDE04"/>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224099"/>
    <w:multiLevelType w:val="singleLevel"/>
    <w:tmpl w:val="9D224099"/>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F2D0C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szCs w:val="20"/>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Body Text Indent"/>
    <w:basedOn w:val="1"/>
    <w:qFormat/>
    <w:uiPriority w:val="0"/>
    <w:pPr>
      <w:widowControl/>
      <w:ind w:firstLine="652" w:firstLineChars="233"/>
    </w:pPr>
    <w:rPr>
      <w:rFonts w:ascii="Times New Roman"/>
      <w:sz w:val="28"/>
    </w:rPr>
  </w:style>
  <w:style w:type="paragraph" w:styleId="4">
    <w:name w:val="Body Text First Indent"/>
    <w:basedOn w:val="2"/>
    <w:next w:val="5"/>
    <w:unhideWhenUsed/>
    <w:qFormat/>
    <w:uiPriority w:val="0"/>
    <w:pPr>
      <w:spacing w:after="120" w:afterLines="0" w:line="240" w:lineRule="auto"/>
      <w:ind w:firstLine="420" w:firstLineChars="100"/>
    </w:pPr>
    <w:rPr>
      <w:rFonts w:ascii="Times New Roman" w:hAnsi="Times New Roman"/>
      <w:color w:val="auto"/>
      <w:sz w:val="18"/>
      <w:szCs w:val="18"/>
    </w:rPr>
  </w:style>
  <w:style w:type="paragraph" w:styleId="5">
    <w:name w:val="Body Text First Indent 2"/>
    <w:basedOn w:val="3"/>
    <w:next w:val="4"/>
    <w:unhideWhenUsed/>
    <w:qFormat/>
    <w:uiPriority w:val="99"/>
    <w:pPr>
      <w:ind w:firstLine="0"/>
    </w:pPr>
    <w:rPr>
      <w:rFonts w:cs="Times New Roman"/>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2025-11-07T08:00:43Z</dcterms:created>
  <dc:creator>admin</dc:creator>
  <cp:lastModifiedBy>做１朶美美的太阳花</cp:lastModifiedBy>
  <dcterms:modified xsi:type="dcterms:W3CDTF">2025-11-07T08:01:16Z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eyJoZGlkIjoiY2NiYzYyMTk4MTAwMGMxMTY2ODVlNjI3YzZiZDE4MzQiLCJ1c2VySWQiOiI0MTUwMzIzMDgifQ==</vt:lpwstr>
  </property>
  <property fmtid="{D5CDD505-2E9C-101B-9397-08002B2CF9AE}" pid="4" name="ICV">
    <vt:lpwstr>2349929C6FC24F2EBA61BF0444F730A3_12</vt:lpwstr>
  </property>
</Properties>
</file>