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版本号：XWT-2025XAZC14820250329002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执法执勤车辆购置项目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XWT-2025XAZC148</w:t>
      </w:r>
      <w:r>
        <w:br/>
      </w:r>
      <w:r>
        <w:br/>
      </w:r>
      <w:r>
        <w:br/>
      </w:r>
    </w:p>
    <w:p>
      <w:pPr>
        <w:pStyle w:val="null3"/>
        <w:jc w:val="center"/>
        <w:outlineLvl w:val="2"/>
      </w:pPr>
      <w:r>
        <w:rPr>
          <w:rFonts w:ascii="仿宋_GB2312" w:hAnsi="仿宋_GB2312" w:cs="仿宋_GB2312" w:eastAsia="仿宋_GB2312"/>
          <w:sz w:val="28"/>
          <w:b/>
        </w:rPr>
        <w:t>铜川市公安局王益分局</w:t>
      </w:r>
    </w:p>
    <w:p>
      <w:pPr>
        <w:pStyle w:val="null3"/>
        <w:jc w:val="center"/>
        <w:outlineLvl w:val="2"/>
      </w:pPr>
      <w:r>
        <w:rPr>
          <w:rFonts w:ascii="仿宋_GB2312" w:hAnsi="仿宋_GB2312" w:cs="仿宋_GB2312" w:eastAsia="仿宋_GB2312"/>
          <w:sz w:val="28"/>
          <w:b/>
        </w:rPr>
        <w:t>陕西鑫万泰项目管理有限公司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陕西鑫万泰项目管理有限公司</w:t>
      </w:r>
      <w:r>
        <w:rPr>
          <w:rFonts w:ascii="仿宋_GB2312" w:hAnsi="仿宋_GB2312" w:cs="仿宋_GB2312" w:eastAsia="仿宋_GB2312"/>
        </w:rPr>
        <w:t>（以下简称“代理机构”）受</w:t>
      </w:r>
      <w:r>
        <w:rPr>
          <w:rFonts w:ascii="仿宋_GB2312" w:hAnsi="仿宋_GB2312" w:cs="仿宋_GB2312" w:eastAsia="仿宋_GB2312"/>
        </w:rPr>
        <w:t>铜川市公安局王益分局</w:t>
      </w:r>
      <w:r>
        <w:rPr>
          <w:rFonts w:ascii="仿宋_GB2312" w:hAnsi="仿宋_GB2312" w:cs="仿宋_GB2312" w:eastAsia="仿宋_GB2312"/>
        </w:rPr>
        <w:t>委托，拟对</w:t>
      </w:r>
      <w:r>
        <w:rPr>
          <w:rFonts w:ascii="仿宋_GB2312" w:hAnsi="仿宋_GB2312" w:cs="仿宋_GB2312" w:eastAsia="仿宋_GB2312"/>
        </w:rPr>
        <w:t>执法执勤车辆购置项目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XWT-2025XAZC148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执法执勤车辆购置项目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为满足公安机关日常执法执勤工作，现为铜川市公安局王益分局采购执法执勤车辆3辆制式警车。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1、法定代表人授权书：提供法定代表人授权书（附法定代表人、被授权人身份证复印件）及被授权人身份证复印件（法定代表人直接参加招标，须提供法定代表人身份证明及身份证复印件）；</w:t>
      </w:r>
    </w:p>
    <w:p>
      <w:pPr>
        <w:pStyle w:val="null3"/>
      </w:pPr>
      <w:r>
        <w:rPr>
          <w:rFonts w:ascii="仿宋_GB2312" w:hAnsi="仿宋_GB2312" w:cs="仿宋_GB2312" w:eastAsia="仿宋_GB2312"/>
        </w:rPr>
        <w:t>2、“信用中国”查询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3、税收缴纳证明：提供磋商截止日前近一年内连续 3 个月的完税凭证或税务机关开具的完税证明(任意税种);依法免税的应提供相关文件证明；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4、社会保障资金缴纳证明：提供磋商截止日前近一年内连续 3 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5、财务状况报告：提供2023、2024任意一年度经审计的财务报告或提交投标文件截止时间三个月内其基本账户开户银行出具的资信证明（以上两种形式的资料提供任何一种即可）；</w:t>
      </w:r>
    </w:p>
    <w:p>
      <w:pPr>
        <w:pStyle w:val="null3"/>
      </w:pPr>
      <w:r>
        <w:rPr>
          <w:rFonts w:ascii="仿宋_GB2312" w:hAnsi="仿宋_GB2312" w:cs="仿宋_GB2312" w:eastAsia="仿宋_GB2312"/>
        </w:rPr>
        <w:t>6、供应商书面声明：供应商参加本次磋商近3年内在经营活动中没有重大违法记录的书面声明；</w:t>
      </w:r>
    </w:p>
    <w:p>
      <w:pPr>
        <w:pStyle w:val="null3"/>
      </w:pPr>
      <w:r>
        <w:rPr>
          <w:rFonts w:ascii="仿宋_GB2312" w:hAnsi="仿宋_GB2312" w:cs="仿宋_GB2312" w:eastAsia="仿宋_GB2312"/>
        </w:rPr>
        <w:t>7、非联合体声明：本项目不接受联合体磋商。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铜川市公安局王益分局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铜川市公安局王益分局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19309191123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陕西鑫万泰项目管理有限公司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陕西省西安市未央区陕西省西安市经济技术开发区明光路与元朔路十字明丰伯马都A座650室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18392356510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报酬的支付方式:依据国家计委颁发的《招标代理服务收费管理暂行办法》(计价格[2002]1980号)和国家发展改革委员会办公厅颁发的《关于招标代理服务收费有关问题的通知》(发改办价格[2003]857号)的有关规定标准收取，以实际中标价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铜川市公安局王益分局</w:t>
      </w:r>
      <w:r>
        <w:rPr>
          <w:rFonts w:ascii="仿宋_GB2312" w:hAnsi="仿宋_GB2312" w:cs="仿宋_GB2312" w:eastAsia="仿宋_GB2312"/>
        </w:rPr>
        <w:t>和</w:t>
      </w:r>
      <w:r>
        <w:rPr>
          <w:rFonts w:ascii="仿宋_GB2312" w:hAnsi="仿宋_GB2312" w:cs="仿宋_GB2312" w:eastAsia="仿宋_GB2312"/>
        </w:rPr>
        <w:t>陕西鑫万泰项目管理有限公司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铜川市公安局王益分局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陕西鑫万泰项目管理有限公司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陕西鑫万泰项目管理有限公司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陕西鑫万泰项目管理有限公司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联系人：侯工</w:t>
      </w:r>
    </w:p>
    <w:p>
      <w:pPr>
        <w:pStyle w:val="null3"/>
      </w:pPr>
      <w:r>
        <w:rPr>
          <w:rFonts w:ascii="仿宋_GB2312" w:hAnsi="仿宋_GB2312" w:cs="仿宋_GB2312" w:eastAsia="仿宋_GB2312"/>
        </w:rPr>
        <w:t>联系电话：18392356510</w:t>
      </w:r>
    </w:p>
    <w:p>
      <w:pPr>
        <w:pStyle w:val="null3"/>
      </w:pPr>
      <w:r>
        <w:rPr>
          <w:rFonts w:ascii="仿宋_GB2312" w:hAnsi="仿宋_GB2312" w:cs="仿宋_GB2312" w:eastAsia="仿宋_GB2312"/>
        </w:rPr>
        <w:t>地址：西安市未央区明丰伯马都A座650室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现购置执法执勤车辆3台；主要功能或目标：公安机关执法执勤工作；需满足的要求：制式警车，带警灯警报器，车辆外观标识为警用标识。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393,000.00</w:t>
      </w:r>
    </w:p>
    <w:p>
      <w:pPr>
        <w:pStyle w:val="null3"/>
      </w:pPr>
      <w:r>
        <w:rPr>
          <w:rFonts w:ascii="仿宋_GB2312" w:hAnsi="仿宋_GB2312" w:cs="仿宋_GB2312" w:eastAsia="仿宋_GB2312"/>
        </w:rPr>
        <w:t>采购包最高限价（元）: 393,000.00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铜川市公安局王益分局执法执勤车辆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393,000.00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标的名称：铜川市公安局王益分局执法执勤车辆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国产插电式混合动力轿车</w:t>
            </w:r>
          </w:p>
        </w:tc>
        <w:tc>
          <w:tcPr>
            <w:tcW w:type="dxa" w:w="2076"/>
          </w:tcPr>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序号</w:t>
                  </w:r>
                </w:p>
              </w:tc>
              <w:tc>
                <w:tcPr>
                  <w:tcW w:type="dxa" w:w="620"/>
                </w:tcPr>
                <w:p>
                  <w:pPr>
                    <w:pStyle w:val="null3"/>
                  </w:pPr>
                  <w:r>
                    <w:rPr>
                      <w:rFonts w:ascii="仿宋_GB2312" w:hAnsi="仿宋_GB2312" w:cs="仿宋_GB2312" w:eastAsia="仿宋_GB2312"/>
                    </w:rPr>
                    <w:t>性能指标</w:t>
                  </w:r>
                </w:p>
              </w:tc>
              <w:tc>
                <w:tcPr>
                  <w:tcW w:type="dxa" w:w="620"/>
                </w:tcPr>
                <w:p>
                  <w:pPr>
                    <w:pStyle w:val="null3"/>
                  </w:pPr>
                  <w:r>
                    <w:rPr>
                      <w:rFonts w:ascii="仿宋_GB2312" w:hAnsi="仿宋_GB2312" w:cs="仿宋_GB2312" w:eastAsia="仿宋_GB2312"/>
                    </w:rPr>
                    <w:t>参数</w:t>
                  </w:r>
                </w:p>
              </w:tc>
            </w:tr>
            <w:tr>
              <w:tc>
                <w:tcPr>
                  <w:tcW w:type="dxa" w:w="620"/>
                </w:tcPr>
                <w:p>
                  <w:pPr>
                    <w:pStyle w:val="null3"/>
                  </w:pPr>
                  <w:r>
                    <w:rPr>
                      <w:rFonts w:ascii="仿宋_GB2312" w:hAnsi="仿宋_GB2312" w:cs="仿宋_GB2312" w:eastAsia="仿宋_GB2312"/>
                    </w:rPr>
                    <w:t>1</w:t>
                  </w:r>
                </w:p>
              </w:tc>
              <w:tc>
                <w:tcPr>
                  <w:tcW w:type="dxa" w:w="620"/>
                </w:tcPr>
                <w:p>
                  <w:pPr>
                    <w:pStyle w:val="null3"/>
                  </w:pPr>
                  <w:r>
                    <w:rPr>
                      <w:rFonts w:ascii="仿宋_GB2312" w:hAnsi="仿宋_GB2312" w:cs="仿宋_GB2312" w:eastAsia="仿宋_GB2312"/>
                    </w:rPr>
                    <w:t>外形尺寸</w:t>
                  </w:r>
                </w:p>
              </w:tc>
              <w:tc>
                <w:tcPr>
                  <w:tcW w:type="dxa" w:w="620"/>
                </w:tcPr>
                <w:p>
                  <w:pPr>
                    <w:pStyle w:val="null3"/>
                  </w:pPr>
                  <w:r>
                    <w:rPr>
                      <w:rFonts w:ascii="仿宋_GB2312" w:hAnsi="仿宋_GB2312" w:cs="仿宋_GB2312" w:eastAsia="仿宋_GB2312"/>
                    </w:rPr>
                    <w:t xml:space="preserve">长度≥4765mm 宽度≥1837mm 高度≥1485mm </w:t>
                  </w:r>
                </w:p>
              </w:tc>
            </w:tr>
            <w:tr>
              <w:tc>
                <w:tcPr>
                  <w:tcW w:type="dxa" w:w="620"/>
                </w:tcPr>
                <w:p>
                  <w:pPr>
                    <w:pStyle w:val="null3"/>
                  </w:pPr>
                  <w:r>
                    <w:rPr>
                      <w:rFonts w:ascii="仿宋_GB2312" w:hAnsi="仿宋_GB2312" w:cs="仿宋_GB2312" w:eastAsia="仿宋_GB2312"/>
                    </w:rPr>
                    <w:t>2</w:t>
                  </w:r>
                </w:p>
              </w:tc>
              <w:tc>
                <w:tcPr>
                  <w:tcW w:type="dxa" w:w="620"/>
                </w:tcPr>
                <w:p>
                  <w:pPr>
                    <w:pStyle w:val="null3"/>
                  </w:pPr>
                  <w:r>
                    <w:rPr>
                      <w:rFonts w:ascii="仿宋_GB2312" w:hAnsi="仿宋_GB2312" w:cs="仿宋_GB2312" w:eastAsia="仿宋_GB2312"/>
                    </w:rPr>
                    <w:t>轴距</w:t>
                  </w:r>
                </w:p>
              </w:tc>
              <w:tc>
                <w:tcPr>
                  <w:tcW w:type="dxa" w:w="620"/>
                </w:tcPr>
                <w:p>
                  <w:pPr>
                    <w:pStyle w:val="null3"/>
                  </w:pPr>
                  <w:r>
                    <w:rPr>
                      <w:rFonts w:ascii="仿宋_GB2312" w:hAnsi="仿宋_GB2312" w:cs="仿宋_GB2312" w:eastAsia="仿宋_GB2312"/>
                    </w:rPr>
                    <w:t xml:space="preserve">≥2790mm </w:t>
                  </w:r>
                </w:p>
              </w:tc>
            </w:tr>
            <w:tr>
              <w:tc>
                <w:tcPr>
                  <w:tcW w:type="dxa" w:w="620"/>
                </w:tcPr>
                <w:p>
                  <w:pPr>
                    <w:pStyle w:val="null3"/>
                  </w:pPr>
                  <w:r>
                    <w:rPr>
                      <w:rFonts w:ascii="仿宋_GB2312" w:hAnsi="仿宋_GB2312" w:cs="仿宋_GB2312" w:eastAsia="仿宋_GB2312"/>
                    </w:rPr>
                    <w:t>3</w:t>
                  </w:r>
                </w:p>
              </w:tc>
              <w:tc>
                <w:tcPr>
                  <w:tcW w:type="dxa" w:w="620"/>
                </w:tcPr>
                <w:p>
                  <w:pPr>
                    <w:pStyle w:val="null3"/>
                  </w:pPr>
                  <w:r>
                    <w:rPr>
                      <w:rFonts w:ascii="仿宋_GB2312" w:hAnsi="仿宋_GB2312" w:cs="仿宋_GB2312" w:eastAsia="仿宋_GB2312"/>
                    </w:rPr>
                    <w:t>轮距</w:t>
                  </w:r>
                </w:p>
              </w:tc>
              <w:tc>
                <w:tcPr>
                  <w:tcW w:type="dxa" w:w="620"/>
                </w:tcPr>
                <w:p>
                  <w:pPr>
                    <w:pStyle w:val="null3"/>
                  </w:pPr>
                  <w:r>
                    <w:rPr>
                      <w:rFonts w:ascii="仿宋_GB2312" w:hAnsi="仿宋_GB2312" w:cs="仿宋_GB2312" w:eastAsia="仿宋_GB2312"/>
                    </w:rPr>
                    <w:t>≥1580mm</w:t>
                  </w:r>
                </w:p>
              </w:tc>
            </w:tr>
            <w:tr>
              <w:tc>
                <w:tcPr>
                  <w:tcW w:type="dxa" w:w="620"/>
                </w:tcPr>
                <w:p>
                  <w:pPr>
                    <w:pStyle w:val="null3"/>
                  </w:pPr>
                  <w:r>
                    <w:rPr>
                      <w:rFonts w:ascii="仿宋_GB2312" w:hAnsi="仿宋_GB2312" w:cs="仿宋_GB2312" w:eastAsia="仿宋_GB2312"/>
                    </w:rPr>
                    <w:t>4</w:t>
                  </w:r>
                </w:p>
              </w:tc>
              <w:tc>
                <w:tcPr>
                  <w:tcW w:type="dxa" w:w="620"/>
                </w:tcPr>
                <w:p>
                  <w:pPr>
                    <w:pStyle w:val="null3"/>
                  </w:pPr>
                  <w:r>
                    <w:rPr>
                      <w:rFonts w:ascii="仿宋_GB2312" w:hAnsi="仿宋_GB2312" w:cs="仿宋_GB2312" w:eastAsia="仿宋_GB2312"/>
                    </w:rPr>
                    <w:t>油箱容积</w:t>
                  </w:r>
                </w:p>
              </w:tc>
              <w:tc>
                <w:tcPr>
                  <w:tcW w:type="dxa" w:w="620"/>
                </w:tcPr>
                <w:p>
                  <w:pPr>
                    <w:pStyle w:val="null3"/>
                  </w:pPr>
                  <w:r>
                    <w:rPr>
                      <w:rFonts w:ascii="仿宋_GB2312" w:hAnsi="仿宋_GB2312" w:cs="仿宋_GB2312" w:eastAsia="仿宋_GB2312"/>
                    </w:rPr>
                    <w:t>≥48L</w:t>
                  </w:r>
                </w:p>
              </w:tc>
            </w:tr>
            <w:tr>
              <w:tc>
                <w:tcPr>
                  <w:tcW w:type="dxa" w:w="620"/>
                </w:tcPr>
                <w:p>
                  <w:pPr>
                    <w:pStyle w:val="null3"/>
                  </w:pPr>
                  <w:r>
                    <w:rPr>
                      <w:rFonts w:ascii="仿宋_GB2312" w:hAnsi="仿宋_GB2312" w:cs="仿宋_GB2312" w:eastAsia="仿宋_GB2312"/>
                    </w:rPr>
                    <w:t>5</w:t>
                  </w:r>
                </w:p>
              </w:tc>
              <w:tc>
                <w:tcPr>
                  <w:tcW w:type="dxa" w:w="620"/>
                </w:tcPr>
                <w:p>
                  <w:pPr>
                    <w:pStyle w:val="null3"/>
                  </w:pPr>
                  <w:r>
                    <w:rPr>
                      <w:rFonts w:ascii="仿宋_GB2312" w:hAnsi="仿宋_GB2312" w:cs="仿宋_GB2312" w:eastAsia="仿宋_GB2312"/>
                    </w:rPr>
                    <w:t>轮胎尺寸</w:t>
                  </w:r>
                </w:p>
              </w:tc>
              <w:tc>
                <w:tcPr>
                  <w:tcW w:type="dxa" w:w="620"/>
                </w:tcPr>
                <w:p>
                  <w:pPr>
                    <w:pStyle w:val="null3"/>
                  </w:pPr>
                  <w:r>
                    <w:rPr>
                      <w:rFonts w:ascii="仿宋_GB2312" w:hAnsi="仿宋_GB2312" w:cs="仿宋_GB2312" w:eastAsia="仿宋_GB2312"/>
                    </w:rPr>
                    <w:t>≥215/50R17</w:t>
                  </w:r>
                </w:p>
              </w:tc>
            </w:tr>
            <w:tr>
              <w:tc>
                <w:tcPr>
                  <w:tcW w:type="dxa" w:w="620"/>
                </w:tcPr>
                <w:p>
                  <w:pPr>
                    <w:pStyle w:val="null3"/>
                  </w:pPr>
                  <w:r>
                    <w:rPr>
                      <w:rFonts w:ascii="仿宋_GB2312" w:hAnsi="仿宋_GB2312" w:cs="仿宋_GB2312" w:eastAsia="仿宋_GB2312"/>
                    </w:rPr>
                    <w:t>6</w:t>
                  </w:r>
                </w:p>
              </w:tc>
              <w:tc>
                <w:tcPr>
                  <w:tcW w:type="dxa" w:w="620"/>
                </w:tcPr>
                <w:p>
                  <w:pPr>
                    <w:pStyle w:val="null3"/>
                  </w:pPr>
                  <w:r>
                    <w:rPr>
                      <w:rFonts w:ascii="仿宋_GB2312" w:hAnsi="仿宋_GB2312" w:cs="仿宋_GB2312" w:eastAsia="仿宋_GB2312"/>
                    </w:rPr>
                    <w:t>发动机排量</w:t>
                  </w:r>
                </w:p>
              </w:tc>
              <w:tc>
                <w:tcPr>
                  <w:tcW w:type="dxa" w:w="620"/>
                </w:tcPr>
                <w:p>
                  <w:pPr>
                    <w:pStyle w:val="null3"/>
                  </w:pPr>
                  <w:r>
                    <w:rPr>
                      <w:rFonts w:ascii="仿宋_GB2312" w:hAnsi="仿宋_GB2312" w:cs="仿宋_GB2312" w:eastAsia="仿宋_GB2312"/>
                    </w:rPr>
                    <w:t>1.5L-1.6L</w:t>
                  </w:r>
                </w:p>
              </w:tc>
            </w:tr>
            <w:tr>
              <w:tc>
                <w:tcPr>
                  <w:tcW w:type="dxa" w:w="620"/>
                </w:tcPr>
                <w:p>
                  <w:pPr>
                    <w:pStyle w:val="null3"/>
                  </w:pPr>
                  <w:r>
                    <w:rPr>
                      <w:rFonts w:ascii="仿宋_GB2312" w:hAnsi="仿宋_GB2312" w:cs="仿宋_GB2312" w:eastAsia="仿宋_GB2312"/>
                    </w:rPr>
                    <w:t>7</w:t>
                  </w:r>
                </w:p>
              </w:tc>
              <w:tc>
                <w:tcPr>
                  <w:tcW w:type="dxa" w:w="620"/>
                </w:tcPr>
                <w:p>
                  <w:pPr>
                    <w:pStyle w:val="null3"/>
                  </w:pPr>
                  <w:r>
                    <w:rPr>
                      <w:rFonts w:ascii="仿宋_GB2312" w:hAnsi="仿宋_GB2312" w:cs="仿宋_GB2312" w:eastAsia="仿宋_GB2312"/>
                    </w:rPr>
                    <w:t>CLTC纯电续航里程</w:t>
                  </w:r>
                </w:p>
              </w:tc>
              <w:tc>
                <w:tcPr>
                  <w:tcW w:type="dxa" w:w="620"/>
                </w:tcPr>
                <w:p>
                  <w:pPr>
                    <w:pStyle w:val="null3"/>
                  </w:pPr>
                  <w:r>
                    <w:rPr>
                      <w:rFonts w:ascii="仿宋_GB2312" w:hAnsi="仿宋_GB2312" w:cs="仿宋_GB2312" w:eastAsia="仿宋_GB2312"/>
                    </w:rPr>
                    <w:t>≥120KW</w:t>
                  </w:r>
                </w:p>
              </w:tc>
            </w:tr>
            <w:tr>
              <w:tc>
                <w:tcPr>
                  <w:tcW w:type="dxa" w:w="620"/>
                </w:tcPr>
                <w:p>
                  <w:pPr>
                    <w:pStyle w:val="null3"/>
                  </w:pPr>
                  <w:r>
                    <w:rPr>
                      <w:rFonts w:ascii="仿宋_GB2312" w:hAnsi="仿宋_GB2312" w:cs="仿宋_GB2312" w:eastAsia="仿宋_GB2312"/>
                    </w:rPr>
                    <w:t>8</w:t>
                  </w:r>
                </w:p>
              </w:tc>
              <w:tc>
                <w:tcPr>
                  <w:tcW w:type="dxa" w:w="620"/>
                </w:tcPr>
                <w:p>
                  <w:pPr>
                    <w:pStyle w:val="null3"/>
                  </w:pPr>
                  <w:r>
                    <w:rPr>
                      <w:rFonts w:ascii="仿宋_GB2312" w:hAnsi="仿宋_GB2312" w:cs="仿宋_GB2312" w:eastAsia="仿宋_GB2312"/>
                    </w:rPr>
                    <w:t>发动机最大扭矩</w:t>
                  </w:r>
                </w:p>
              </w:tc>
              <w:tc>
                <w:tcPr>
                  <w:tcW w:type="dxa" w:w="620"/>
                </w:tcPr>
                <w:p>
                  <w:pPr>
                    <w:pStyle w:val="null3"/>
                  </w:pPr>
                  <w:r>
                    <w:rPr>
                      <w:rFonts w:ascii="仿宋_GB2312" w:hAnsi="仿宋_GB2312" w:cs="仿宋_GB2312" w:eastAsia="仿宋_GB2312"/>
                    </w:rPr>
                    <w:t>≥126N/M</w:t>
                  </w:r>
                </w:p>
              </w:tc>
            </w:tr>
            <w:tr>
              <w:tc>
                <w:tcPr>
                  <w:tcW w:type="dxa" w:w="620"/>
                </w:tcPr>
                <w:p>
                  <w:pPr>
                    <w:pStyle w:val="null3"/>
                  </w:pPr>
                  <w:r>
                    <w:rPr>
                      <w:rFonts w:ascii="仿宋_GB2312" w:hAnsi="仿宋_GB2312" w:cs="仿宋_GB2312" w:eastAsia="仿宋_GB2312"/>
                    </w:rPr>
                    <w:t>9</w:t>
                  </w:r>
                </w:p>
              </w:tc>
              <w:tc>
                <w:tcPr>
                  <w:tcW w:type="dxa" w:w="620"/>
                </w:tcPr>
                <w:p>
                  <w:pPr>
                    <w:pStyle w:val="null3"/>
                  </w:pPr>
                  <w:r>
                    <w:rPr>
                      <w:rFonts w:ascii="仿宋_GB2312" w:hAnsi="仿宋_GB2312" w:cs="仿宋_GB2312" w:eastAsia="仿宋_GB2312"/>
                    </w:rPr>
                    <w:t>电动机总功率</w:t>
                  </w:r>
                </w:p>
              </w:tc>
              <w:tc>
                <w:tcPr>
                  <w:tcW w:type="dxa" w:w="620"/>
                </w:tcPr>
                <w:p>
                  <w:pPr>
                    <w:pStyle w:val="null3"/>
                  </w:pPr>
                  <w:r>
                    <w:rPr>
                      <w:rFonts w:ascii="仿宋_GB2312" w:hAnsi="仿宋_GB2312" w:cs="仿宋_GB2312" w:eastAsia="仿宋_GB2312"/>
                    </w:rPr>
                    <w:t>≥ 137KW</w:t>
                  </w:r>
                </w:p>
              </w:tc>
            </w:tr>
            <w:tr>
              <w:tc>
                <w:tcPr>
                  <w:tcW w:type="dxa" w:w="620"/>
                </w:tcPr>
                <w:p>
                  <w:pPr>
                    <w:pStyle w:val="null3"/>
                  </w:pPr>
                  <w:r>
                    <w:rPr>
                      <w:rFonts w:ascii="仿宋_GB2312" w:hAnsi="仿宋_GB2312" w:cs="仿宋_GB2312" w:eastAsia="仿宋_GB2312"/>
                    </w:rPr>
                    <w:t>10</w:t>
                  </w:r>
                </w:p>
              </w:tc>
              <w:tc>
                <w:tcPr>
                  <w:tcW w:type="dxa" w:w="620"/>
                </w:tcPr>
                <w:p>
                  <w:pPr>
                    <w:pStyle w:val="null3"/>
                  </w:pPr>
                  <w:r>
                    <w:rPr>
                      <w:rFonts w:ascii="仿宋_GB2312" w:hAnsi="仿宋_GB2312" w:cs="仿宋_GB2312" w:eastAsia="仿宋_GB2312"/>
                    </w:rPr>
                    <w:t>电动机总扭矩</w:t>
                  </w:r>
                </w:p>
              </w:tc>
              <w:tc>
                <w:tcPr>
                  <w:tcW w:type="dxa" w:w="620"/>
                </w:tcPr>
                <w:p>
                  <w:pPr>
                    <w:pStyle w:val="null3"/>
                  </w:pPr>
                  <w:r>
                    <w:rPr>
                      <w:rFonts w:ascii="仿宋_GB2312" w:hAnsi="仿宋_GB2312" w:cs="仿宋_GB2312" w:eastAsia="仿宋_GB2312"/>
                    </w:rPr>
                    <w:t>≥260N/M</w:t>
                  </w:r>
                </w:p>
              </w:tc>
            </w:tr>
            <w:tr>
              <w:tc>
                <w:tcPr>
                  <w:tcW w:type="dxa" w:w="620"/>
                </w:tcPr>
                <w:p>
                  <w:pPr>
                    <w:pStyle w:val="null3"/>
                  </w:pPr>
                  <w:r>
                    <w:rPr>
                      <w:rFonts w:ascii="仿宋_GB2312" w:hAnsi="仿宋_GB2312" w:cs="仿宋_GB2312" w:eastAsia="仿宋_GB2312"/>
                    </w:rPr>
                    <w:t>11</w:t>
                  </w:r>
                </w:p>
              </w:tc>
              <w:tc>
                <w:tcPr>
                  <w:tcW w:type="dxa" w:w="620"/>
                </w:tcPr>
                <w:p>
                  <w:pPr>
                    <w:pStyle w:val="null3"/>
                  </w:pPr>
                  <w:r>
                    <w:rPr>
                      <w:rFonts w:ascii="仿宋_GB2312" w:hAnsi="仿宋_GB2312" w:cs="仿宋_GB2312" w:eastAsia="仿宋_GB2312"/>
                    </w:rPr>
                    <w:t>电磁能量</w:t>
                  </w:r>
                </w:p>
              </w:tc>
              <w:tc>
                <w:tcPr>
                  <w:tcW w:type="dxa" w:w="620"/>
                </w:tcPr>
                <w:p>
                  <w:pPr>
                    <w:pStyle w:val="null3"/>
                  </w:pPr>
                  <w:r>
                    <w:rPr>
                      <w:rFonts w:ascii="仿宋_GB2312" w:hAnsi="仿宋_GB2312" w:cs="仿宋_GB2312" w:eastAsia="仿宋_GB2312"/>
                    </w:rPr>
                    <w:t>≥15.5KW/H</w:t>
                  </w:r>
                </w:p>
              </w:tc>
            </w:tr>
            <w:tr>
              <w:tc>
                <w:tcPr>
                  <w:tcW w:type="dxa" w:w="620"/>
                </w:tcPr>
                <w:p>
                  <w:pPr>
                    <w:pStyle w:val="null3"/>
                  </w:pPr>
                  <w:r>
                    <w:rPr>
                      <w:rFonts w:ascii="仿宋_GB2312" w:hAnsi="仿宋_GB2312" w:cs="仿宋_GB2312" w:eastAsia="仿宋_GB2312"/>
                    </w:rPr>
                    <w:t>其他性能要求</w:t>
                  </w:r>
                </w:p>
              </w:tc>
              <w:tc>
                <w:tcPr>
                  <w:tcW w:type="dxa" w:w="1240"/>
                  <w:gridSpan w:val="2"/>
                </w:tcPr>
                <w:p>
                  <w:pPr>
                    <w:pStyle w:val="null3"/>
                  </w:pPr>
                  <w:r>
                    <w:rPr>
                      <w:rFonts w:ascii="仿宋_GB2312" w:hAnsi="仿宋_GB2312" w:cs="仿宋_GB2312" w:eastAsia="仿宋_GB2312"/>
                    </w:rPr>
                    <w:t>制动力分配系统，车身稳定系统，防抱死系统，牵引力控制系统，刹车辅助，电子驻车，电动助力装向，定速巡航，倒车影像，主、副驾驶an全气囊，前侧安全气帘，液晶仪表尺寸：≥8.8英寸，外后视镜电动调节，遥控钥匙</w:t>
                  </w:r>
                </w:p>
              </w:tc>
            </w:tr>
          </w:tbl>
          <w:p>
            <w:pPr>
              <w:pStyle w:val="null3"/>
            </w:pPr>
            <w:r>
              <w:rPr>
                <w:rFonts w:ascii="仿宋_GB2312" w:hAnsi="仿宋_GB2312" w:cs="仿宋_GB2312" w:eastAsia="仿宋_GB2312"/>
              </w:rPr>
              <w:t xml:space="preserve"> </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国产MPV</w:t>
            </w:r>
          </w:p>
        </w:tc>
        <w:tc>
          <w:tcPr>
            <w:tcW w:type="dxa" w:w="2076"/>
          </w:tcPr>
          <w:tbl>
            <w:tblPr>
              <w:tblBorders>
                <w:top w:val="single"/>
                <w:left w:val="single"/>
                <w:bottom w:val="single"/>
                <w:right w:val="single"/>
                <w:insideH w:val="single"/>
                <w:insideV w:val="single"/>
              </w:tblBorders>
            </w:tblPr>
            <w:tblGrid>
              <w:gridCol w:w="620"/>
              <w:gridCol w:w="620"/>
              <w:gridCol w:w="620"/>
            </w:tblGrid>
            <w:tr>
              <w:tc>
                <w:tcPr>
                  <w:tcW w:type="dxa" w:w="620"/>
                </w:tcPr>
                <w:p>
                  <w:pPr>
                    <w:pStyle w:val="null3"/>
                  </w:pPr>
                  <w:r>
                    <w:rPr>
                      <w:rFonts w:ascii="仿宋_GB2312" w:hAnsi="仿宋_GB2312" w:cs="仿宋_GB2312" w:eastAsia="仿宋_GB2312"/>
                    </w:rPr>
                    <w:t>序号</w:t>
                  </w:r>
                </w:p>
              </w:tc>
              <w:tc>
                <w:tcPr>
                  <w:tcW w:type="dxa" w:w="620"/>
                </w:tcPr>
                <w:p>
                  <w:pPr>
                    <w:pStyle w:val="null3"/>
                  </w:pPr>
                  <w:r>
                    <w:rPr>
                      <w:rFonts w:ascii="仿宋_GB2312" w:hAnsi="仿宋_GB2312" w:cs="仿宋_GB2312" w:eastAsia="仿宋_GB2312"/>
                    </w:rPr>
                    <w:t>性能指标</w:t>
                  </w:r>
                </w:p>
              </w:tc>
              <w:tc>
                <w:tcPr>
                  <w:tcW w:type="dxa" w:w="620"/>
                </w:tcPr>
                <w:p>
                  <w:pPr>
                    <w:pStyle w:val="null3"/>
                  </w:pPr>
                  <w:r>
                    <w:rPr>
                      <w:rFonts w:ascii="仿宋_GB2312" w:hAnsi="仿宋_GB2312" w:cs="仿宋_GB2312" w:eastAsia="仿宋_GB2312"/>
                    </w:rPr>
                    <w:t>参数</w:t>
                  </w:r>
                </w:p>
              </w:tc>
            </w:tr>
            <w:tr>
              <w:tc>
                <w:tcPr>
                  <w:tcW w:type="dxa" w:w="620"/>
                </w:tcPr>
                <w:p>
                  <w:pPr>
                    <w:pStyle w:val="null3"/>
                  </w:pPr>
                  <w:r>
                    <w:rPr>
                      <w:rFonts w:ascii="仿宋_GB2312" w:hAnsi="仿宋_GB2312" w:cs="仿宋_GB2312" w:eastAsia="仿宋_GB2312"/>
                    </w:rPr>
                    <w:t>1</w:t>
                  </w:r>
                </w:p>
              </w:tc>
              <w:tc>
                <w:tcPr>
                  <w:tcW w:type="dxa" w:w="620"/>
                </w:tcPr>
                <w:p>
                  <w:pPr>
                    <w:pStyle w:val="null3"/>
                  </w:pPr>
                  <w:r>
                    <w:rPr>
                      <w:rFonts w:ascii="仿宋_GB2312" w:hAnsi="仿宋_GB2312" w:cs="仿宋_GB2312" w:eastAsia="仿宋_GB2312"/>
                    </w:rPr>
                    <w:t>外形尺寸</w:t>
                  </w:r>
                </w:p>
              </w:tc>
              <w:tc>
                <w:tcPr>
                  <w:tcW w:type="dxa" w:w="620"/>
                </w:tcPr>
                <w:p>
                  <w:pPr>
                    <w:pStyle w:val="null3"/>
                  </w:pPr>
                  <w:r>
                    <w:rPr>
                      <w:rFonts w:ascii="仿宋_GB2312" w:hAnsi="仿宋_GB2312" w:cs="仿宋_GB2312" w:eastAsia="仿宋_GB2312"/>
                    </w:rPr>
                    <w:t>长度≥4793mm，宽度≥1825mm，高度≥1695mm</w:t>
                  </w:r>
                </w:p>
              </w:tc>
            </w:tr>
            <w:tr>
              <w:tc>
                <w:tcPr>
                  <w:tcW w:type="dxa" w:w="620"/>
                </w:tcPr>
                <w:p>
                  <w:pPr>
                    <w:pStyle w:val="null3"/>
                  </w:pPr>
                  <w:r>
                    <w:rPr>
                      <w:rFonts w:ascii="仿宋_GB2312" w:hAnsi="仿宋_GB2312" w:cs="仿宋_GB2312" w:eastAsia="仿宋_GB2312"/>
                    </w:rPr>
                    <w:t>2</w:t>
                  </w:r>
                </w:p>
              </w:tc>
              <w:tc>
                <w:tcPr>
                  <w:tcW w:type="dxa" w:w="620"/>
                </w:tcPr>
                <w:p>
                  <w:pPr>
                    <w:pStyle w:val="null3"/>
                  </w:pPr>
                  <w:r>
                    <w:rPr>
                      <w:rFonts w:ascii="仿宋_GB2312" w:hAnsi="仿宋_GB2312" w:cs="仿宋_GB2312" w:eastAsia="仿宋_GB2312"/>
                    </w:rPr>
                    <w:t>轴距</w:t>
                  </w:r>
                </w:p>
              </w:tc>
              <w:tc>
                <w:tcPr>
                  <w:tcW w:type="dxa" w:w="620"/>
                </w:tcPr>
                <w:p>
                  <w:pPr>
                    <w:pStyle w:val="null3"/>
                  </w:pPr>
                  <w:r>
                    <w:rPr>
                      <w:rFonts w:ascii="仿宋_GB2312" w:hAnsi="仿宋_GB2312" w:cs="仿宋_GB2312" w:eastAsia="仿宋_GB2312"/>
                    </w:rPr>
                    <w:t>≥2800mm</w:t>
                  </w:r>
                </w:p>
              </w:tc>
            </w:tr>
            <w:tr>
              <w:tc>
                <w:tcPr>
                  <w:tcW w:type="dxa" w:w="620"/>
                </w:tcPr>
                <w:p>
                  <w:pPr>
                    <w:pStyle w:val="null3"/>
                  </w:pPr>
                  <w:r>
                    <w:rPr>
                      <w:rFonts w:ascii="仿宋_GB2312" w:hAnsi="仿宋_GB2312" w:cs="仿宋_GB2312" w:eastAsia="仿宋_GB2312"/>
                    </w:rPr>
                    <w:t>3</w:t>
                  </w:r>
                </w:p>
              </w:tc>
              <w:tc>
                <w:tcPr>
                  <w:tcW w:type="dxa" w:w="620"/>
                </w:tcPr>
                <w:p>
                  <w:pPr>
                    <w:pStyle w:val="null3"/>
                  </w:pPr>
                  <w:r>
                    <w:rPr>
                      <w:rFonts w:ascii="仿宋_GB2312" w:hAnsi="仿宋_GB2312" w:cs="仿宋_GB2312" w:eastAsia="仿宋_GB2312"/>
                    </w:rPr>
                    <w:t>发动机排量</w:t>
                  </w:r>
                </w:p>
              </w:tc>
              <w:tc>
                <w:tcPr>
                  <w:tcW w:type="dxa" w:w="620"/>
                </w:tcPr>
                <w:p>
                  <w:pPr>
                    <w:pStyle w:val="null3"/>
                  </w:pPr>
                  <w:r>
                    <w:rPr>
                      <w:rFonts w:ascii="仿宋_GB2312" w:hAnsi="仿宋_GB2312" w:cs="仿宋_GB2312" w:eastAsia="仿宋_GB2312"/>
                    </w:rPr>
                    <w:t>1.5L</w:t>
                  </w:r>
                </w:p>
              </w:tc>
            </w:tr>
            <w:tr>
              <w:tc>
                <w:tcPr>
                  <w:tcW w:type="dxa" w:w="620"/>
                </w:tcPr>
                <w:p>
                  <w:pPr>
                    <w:pStyle w:val="null3"/>
                  </w:pPr>
                  <w:r>
                    <w:rPr>
                      <w:rFonts w:ascii="仿宋_GB2312" w:hAnsi="仿宋_GB2312" w:cs="仿宋_GB2312" w:eastAsia="仿宋_GB2312"/>
                    </w:rPr>
                    <w:t>4</w:t>
                  </w:r>
                </w:p>
              </w:tc>
              <w:tc>
                <w:tcPr>
                  <w:tcW w:type="dxa" w:w="620"/>
                </w:tcPr>
                <w:p>
                  <w:pPr>
                    <w:pStyle w:val="null3"/>
                  </w:pPr>
                  <w:r>
                    <w:rPr>
                      <w:rFonts w:ascii="仿宋_GB2312" w:hAnsi="仿宋_GB2312" w:cs="仿宋_GB2312" w:eastAsia="仿宋_GB2312"/>
                    </w:rPr>
                    <w:t>变速箱</w:t>
                  </w:r>
                </w:p>
              </w:tc>
              <w:tc>
                <w:tcPr>
                  <w:tcW w:type="dxa" w:w="620"/>
                </w:tcPr>
                <w:p>
                  <w:pPr>
                    <w:pStyle w:val="null3"/>
                  </w:pPr>
                  <w:r>
                    <w:rPr>
                      <w:rFonts w:ascii="仿宋_GB2312" w:hAnsi="仿宋_GB2312" w:cs="仿宋_GB2312" w:eastAsia="仿宋_GB2312"/>
                    </w:rPr>
                    <w:t>七速双离合变速箱</w:t>
                  </w:r>
                </w:p>
              </w:tc>
            </w:tr>
            <w:tr>
              <w:tc>
                <w:tcPr>
                  <w:tcW w:type="dxa" w:w="620"/>
                </w:tcPr>
                <w:p>
                  <w:pPr>
                    <w:pStyle w:val="null3"/>
                  </w:pPr>
                  <w:r>
                    <w:rPr>
                      <w:rFonts w:ascii="仿宋_GB2312" w:hAnsi="仿宋_GB2312" w:cs="仿宋_GB2312" w:eastAsia="仿宋_GB2312"/>
                    </w:rPr>
                    <w:t>5</w:t>
                  </w:r>
                </w:p>
              </w:tc>
              <w:tc>
                <w:tcPr>
                  <w:tcW w:type="dxa" w:w="620"/>
                </w:tcPr>
                <w:p>
                  <w:pPr>
                    <w:pStyle w:val="null3"/>
                  </w:pPr>
                  <w:r>
                    <w:rPr>
                      <w:rFonts w:ascii="仿宋_GB2312" w:hAnsi="仿宋_GB2312" w:cs="仿宋_GB2312" w:eastAsia="仿宋_GB2312"/>
                    </w:rPr>
                    <w:t>最高车速</w:t>
                  </w:r>
                </w:p>
              </w:tc>
              <w:tc>
                <w:tcPr>
                  <w:tcW w:type="dxa" w:w="620"/>
                </w:tcPr>
                <w:p>
                  <w:pPr>
                    <w:pStyle w:val="null3"/>
                  </w:pPr>
                  <w:r>
                    <w:rPr>
                      <w:rFonts w:ascii="仿宋_GB2312" w:hAnsi="仿宋_GB2312" w:cs="仿宋_GB2312" w:eastAsia="仿宋_GB2312"/>
                    </w:rPr>
                    <w:t>≥185km/h</w:t>
                  </w:r>
                </w:p>
              </w:tc>
            </w:tr>
            <w:tr>
              <w:tc>
                <w:tcPr>
                  <w:tcW w:type="dxa" w:w="620"/>
                </w:tcPr>
                <w:p>
                  <w:pPr>
                    <w:pStyle w:val="null3"/>
                  </w:pPr>
                  <w:r>
                    <w:rPr>
                      <w:rFonts w:ascii="仿宋_GB2312" w:hAnsi="仿宋_GB2312" w:cs="仿宋_GB2312" w:eastAsia="仿宋_GB2312"/>
                    </w:rPr>
                    <w:t>6</w:t>
                  </w:r>
                </w:p>
              </w:tc>
              <w:tc>
                <w:tcPr>
                  <w:tcW w:type="dxa" w:w="620"/>
                </w:tcPr>
                <w:p>
                  <w:pPr>
                    <w:pStyle w:val="null3"/>
                  </w:pPr>
                  <w:r>
                    <w:rPr>
                      <w:rFonts w:ascii="仿宋_GB2312" w:hAnsi="仿宋_GB2312" w:cs="仿宋_GB2312" w:eastAsia="仿宋_GB2312"/>
                    </w:rPr>
                    <w:t>WLTC综合油耗</w:t>
                  </w:r>
                </w:p>
              </w:tc>
              <w:tc>
                <w:tcPr>
                  <w:tcW w:type="dxa" w:w="620"/>
                </w:tcPr>
                <w:p>
                  <w:pPr>
                    <w:pStyle w:val="null3"/>
                  </w:pPr>
                  <w:r>
                    <w:rPr>
                      <w:rFonts w:ascii="仿宋_GB2312" w:hAnsi="仿宋_GB2312" w:cs="仿宋_GB2312" w:eastAsia="仿宋_GB2312"/>
                    </w:rPr>
                    <w:t>≤7.3L/100km</w:t>
                  </w:r>
                </w:p>
              </w:tc>
            </w:tr>
            <w:tr>
              <w:tc>
                <w:tcPr>
                  <w:tcW w:type="dxa" w:w="620"/>
                </w:tcPr>
                <w:p>
                  <w:pPr>
                    <w:pStyle w:val="null3"/>
                  </w:pPr>
                  <w:r>
                    <w:rPr>
                      <w:rFonts w:ascii="仿宋_GB2312" w:hAnsi="仿宋_GB2312" w:cs="仿宋_GB2312" w:eastAsia="仿宋_GB2312"/>
                    </w:rPr>
                    <w:t>其他性能要求</w:t>
                  </w:r>
                </w:p>
              </w:tc>
              <w:tc>
                <w:tcPr>
                  <w:tcW w:type="dxa" w:w="1240"/>
                  <w:gridSpan w:val="2"/>
                </w:tcPr>
                <w:p>
                  <w:pPr>
                    <w:pStyle w:val="null3"/>
                  </w:pPr>
                  <w:r>
                    <w:rPr>
                      <w:rFonts w:ascii="仿宋_GB2312" w:hAnsi="仿宋_GB2312" w:cs="仿宋_GB2312" w:eastAsia="仿宋_GB2312"/>
                    </w:rPr>
                    <w:t>具备ESP车身稳定系统、ABS防抱死刹车系统、TCS牵引力控制系统</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由采购人确定，详见合同内容。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满足甲方验收标准后一次付清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符合国家相关法律法规及行业规范，满足采购人要求。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符合国家相关法律法规及行业规范，满足采购人要求。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采购人与成交供应商应当根据合同的约定依法履行合同义务。政府采购合同的履行、 违约责任和解决争议的方法等适用《中华人民共和国民法典》。</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本次采购金额为含税额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提供法定代表人授权书（附法定代表人、被授权人身份证复印件）及被授权人身份证复印件（法定代表人直接参加招标，须提供法定代表人身份证明及身份证复印件）；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“信用中国”查询记录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提供磋商截止日前近一年内连续 3 个月的完税凭证或税务机关开具的完税证明(任意税种);依法免税的应提供相关文件证明；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提供磋商截止日前近一年内连续 3 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提供2023、2024任意一年度经审计的财务报告或提交投标文件截止时间三个月内其基本账户开户银行出具的资信证明（以上两种形式的资料提供任何一种即可）；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供应商参加本次磋商近3年内在经营活动中没有重大违法记录的书面声明；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投标产品技术参数及配置满足磋商文件要求</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针对该项目有详尽的组织配送等服务能力及相关方案，自主赋0-15分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投标企业市场占有率、生产资质（如ISO认证）等方面综合评定，自主赋0-10分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提供近两年经审计的财务报告或提交投标文件截止时间三个月内其基本账户开户银行出具的资信证明，自主赋0-10分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售后保障服务</w:t>
            </w:r>
          </w:p>
        </w:tc>
        <w:tc>
          <w:tcPr>
            <w:tcW w:type="dxa" w:w="2492"/>
          </w:tcPr>
          <w:p>
            <w:pPr>
              <w:pStyle w:val="null3"/>
            </w:pPr>
            <w:r>
              <w:rPr>
                <w:rFonts w:ascii="仿宋_GB2312" w:hAnsi="仿宋_GB2312" w:cs="仿宋_GB2312" w:eastAsia="仿宋_GB2312"/>
              </w:rPr>
              <w:t>具备详尽的售后保障服务及应对措施，自主赋分0-10分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供应商近三年（2022年至今，以合同签订时间为准）具有类似项目业绩，以供货合同或中标通知书为依据，提供一份得1分，依此累计，最高得5分（复印件需加盖公章）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信誉评价</w:t>
            </w:r>
          </w:p>
        </w:tc>
        <w:tc>
          <w:tcPr>
            <w:tcW w:type="dxa" w:w="2492"/>
          </w:tcPr>
          <w:p>
            <w:pPr>
              <w:pStyle w:val="null3"/>
            </w:pPr>
            <w:r>
              <w:rPr>
                <w:rFonts w:ascii="仿宋_GB2312" w:hAnsi="仿宋_GB2312" w:cs="仿宋_GB2312" w:eastAsia="仿宋_GB2312"/>
              </w:rPr>
              <w:t>根据有无违约或投诉、第三方评测或客户反馈提供相应的履约记录或用户评价</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1.本次采购金额为含税额，按照要求报价，内容齐全，报价合理，无缺漏项的投标供应商的报价可参与投标； 2.投标基准价=合理投标供应商的报价的最低报价； 3.投标供应商的报价得分=投标基准价/各投标报价*30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详见附件：政府采购货物买卖合同（试行）.docx.docx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