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版本号：XWT-2025XAZC15220250430001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王益区垃圾分类广场建设项目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XWT-2025XAZC152</w:t>
      </w:r>
      <w:r>
        <w:br/>
      </w:r>
      <w:r>
        <w:br/>
      </w:r>
      <w:r>
        <w:br/>
      </w:r>
    </w:p>
    <w:p>
      <w:pPr>
        <w:pStyle w:val="null3"/>
        <w:jc w:val="center"/>
        <w:outlineLvl w:val="2"/>
      </w:pPr>
      <w:r>
        <w:rPr>
          <w:rFonts w:ascii="仿宋_GB2312" w:hAnsi="仿宋_GB2312" w:cs="仿宋_GB2312" w:eastAsia="仿宋_GB2312"/>
          <w:sz w:val="28"/>
          <w:b/>
        </w:rPr>
        <w:t>铜川市王益区市政园林工程管理所</w:t>
      </w:r>
    </w:p>
    <w:p>
      <w:pPr>
        <w:pStyle w:val="null3"/>
        <w:jc w:val="center"/>
        <w:outlineLvl w:val="2"/>
      </w:pPr>
      <w:r>
        <w:rPr>
          <w:rFonts w:ascii="仿宋_GB2312" w:hAnsi="仿宋_GB2312" w:cs="仿宋_GB2312" w:eastAsia="仿宋_GB2312"/>
          <w:sz w:val="28"/>
          <w:b/>
        </w:rPr>
        <w:t>陕西鑫万泰项目管理有限公司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陕西鑫万泰项目管理有限公司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铜川市王益区市政园林工程管理所</w:t>
      </w:r>
      <w:r>
        <w:rPr>
          <w:rFonts w:ascii="仿宋_GB2312" w:hAnsi="仿宋_GB2312" w:cs="仿宋_GB2312" w:eastAsia="仿宋_GB2312"/>
        </w:rPr>
        <w:t>委托，拟对</w:t>
      </w:r>
      <w:r>
        <w:rPr>
          <w:rFonts w:ascii="仿宋_GB2312" w:hAnsi="仿宋_GB2312" w:cs="仿宋_GB2312" w:eastAsia="仿宋_GB2312"/>
        </w:rPr>
        <w:t>王益区垃圾分类广场建设项目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XWT-2025XAZC152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王益区垃圾分类广场建设项目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王益区垃圾分类广场建设项目，具体详见工程量清单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采购包1（王益区垃圾分类广场建设项目）：属于专门面向中小企业采购。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2、法定代表人授权书及被授权人身份证复印件：法定代表人授权书及被授权人身份证复印件（法定代表人直接参加投标，须提供法定代表人身份证明及身份证复印件）；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3、企业资质：投标单位须提供建设行政主管部门颁发市政公用工程施工总承包三级（含三级）及以上资质或电力工程施工总承包三级（含三级）及以上资质，并具有合格有效的安全生产许可证</w:t>
      </w:r>
    </w:p>
    <w:p>
      <w:pPr>
        <w:pStyle w:val="null3"/>
      </w:pPr>
      <w:r>
        <w:rPr>
          <w:rFonts w:ascii="仿宋_GB2312" w:hAnsi="仿宋_GB2312" w:cs="仿宋_GB2312" w:eastAsia="仿宋_GB2312"/>
        </w:rPr>
        <w:t>4、拟派项目经理资质：拟派项目经理须具备市政公用工程专业或机电工程专业二级及以上注册建造师及安全生产考核合格证书，在本单位注册且无在建工程和不良记录（提供无在建工程、无不良记录承诺书）；</w:t>
      </w:r>
    </w:p>
    <w:p>
      <w:pPr>
        <w:pStyle w:val="null3"/>
      </w:pPr>
      <w:r>
        <w:rPr>
          <w:rFonts w:ascii="仿宋_GB2312" w:hAnsi="仿宋_GB2312" w:cs="仿宋_GB2312" w:eastAsia="仿宋_GB2312"/>
        </w:rPr>
        <w:t>5、非联合体投标：本项目不接受联合体磋商；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铜川市王益区市政园林工程管理所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铜川市王益区市政园林工程管理所体育路33号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0919-2161617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陕西鑫万泰项目管理有限公司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陕西省西安市经济技术开发区明光路与元朔路十字明丰伯马都A座650室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13759910270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采购包1：1,451,328.76元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代理服务费收费标准：根据国家计委颁发的《招标代理服务收费管理暂行办法》（计价格[2002]1980号）文件规定的国家代理服务费收费标准，一次性付清。 代理服务费缴纳账号: 单 位 名 称:陕西鑫万泰项目管理有限公司 开户行名称: 中国工商银行股份有限公司西安未央支行 账号：3700 0236 0920 0266 535 转账事由:(项目简称) 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铜川市王益区市政园林工程管理所</w:t>
      </w:r>
      <w:r>
        <w:rPr>
          <w:rFonts w:ascii="仿宋_GB2312" w:hAnsi="仿宋_GB2312" w:cs="仿宋_GB2312" w:eastAsia="仿宋_GB2312"/>
        </w:rPr>
        <w:t>和</w:t>
      </w:r>
      <w:r>
        <w:rPr>
          <w:rFonts w:ascii="仿宋_GB2312" w:hAnsi="仿宋_GB2312" w:cs="仿宋_GB2312" w:eastAsia="仿宋_GB2312"/>
        </w:rPr>
        <w:t>陕西鑫万泰项目管理有限公司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铜川市王益区市政园林工程管理所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陕西鑫万泰项目管理有限公司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铜川市王益区市政园林工程管理所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陕西鑫万泰项目管理有限公司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一、工程类项目应当按照《建筑工程施工质量验收统一标准》GB50300-2013等行业管理部门规定的标准、方法和内容进行验收。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联系人：侯工</w:t>
      </w:r>
    </w:p>
    <w:p>
      <w:pPr>
        <w:pStyle w:val="null3"/>
      </w:pPr>
      <w:r>
        <w:rPr>
          <w:rFonts w:ascii="仿宋_GB2312" w:hAnsi="仿宋_GB2312" w:cs="仿宋_GB2312" w:eastAsia="仿宋_GB2312"/>
        </w:rPr>
        <w:t>联系电话：13759910270</w:t>
      </w:r>
    </w:p>
    <w:p>
      <w:pPr>
        <w:pStyle w:val="null3"/>
      </w:pPr>
      <w:r>
        <w:rPr>
          <w:rFonts w:ascii="仿宋_GB2312" w:hAnsi="仿宋_GB2312" w:cs="仿宋_GB2312" w:eastAsia="仿宋_GB2312"/>
        </w:rPr>
        <w:t>地址：西安市未央区明丰伯马都A座北650室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1,451,328.76</w:t>
      </w:r>
    </w:p>
    <w:p>
      <w:pPr>
        <w:pStyle w:val="null3"/>
      </w:pPr>
      <w:r>
        <w:rPr>
          <w:rFonts w:ascii="仿宋_GB2312" w:hAnsi="仿宋_GB2312" w:cs="仿宋_GB2312" w:eastAsia="仿宋_GB2312"/>
        </w:rPr>
        <w:t>采购包最高限价（元）: 1,451,328.76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王益区垃圾分类广场建设项目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1,451,328.76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标的名称：王益区垃圾分类广场建设项目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一、项目名称：王益区垃圾分类广场建设项目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二、项目内容：</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市政土建工程中拆除原破损地面、拆除种植池等拆除部分及新做恢复沥青混凝土地面、彩色露骨料水泥混凝土地面、花岗岩修补地面及</w:t>
            </w:r>
            <w:r>
              <w:rPr>
                <w:rFonts w:ascii="仿宋_GB2312" w:hAnsi="仿宋_GB2312" w:cs="仿宋_GB2312" w:eastAsia="仿宋_GB2312"/>
                <w:sz w:val="21"/>
              </w:rPr>
              <w:t>250*300</w:t>
            </w:r>
            <w:r>
              <w:rPr>
                <w:rFonts w:ascii="仿宋_GB2312" w:hAnsi="仿宋_GB2312" w:cs="仿宋_GB2312" w:eastAsia="仿宋_GB2312"/>
                <w:sz w:val="21"/>
              </w:rPr>
              <w:t>成品线性沟、地面桥墩彩绘等工程内容；</w:t>
            </w:r>
          </w:p>
          <w:p>
            <w:pPr>
              <w:pStyle w:val="null3"/>
              <w:ind w:firstLine="56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园林绿化工程内栽植连翘、大叶黄杨球、红花继木球灯部分灌木及瓜子黄杨色带和麦冬草草皮等部分内容；</w:t>
            </w:r>
          </w:p>
          <w:p>
            <w:pPr>
              <w:pStyle w:val="null3"/>
              <w:ind w:firstLine="56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设施工程中分类投篮、科普长廊、主题趣味滑梯、成品秋千等工程内容；</w:t>
            </w:r>
          </w:p>
          <w:p>
            <w:pPr>
              <w:pStyle w:val="null3"/>
              <w:ind w:firstLine="56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电气设备安装工程内灯具安装及其附属电缆线管安装；给排水工程中室外</w:t>
            </w:r>
            <w:r>
              <w:rPr>
                <w:rFonts w:ascii="仿宋_GB2312" w:hAnsi="仿宋_GB2312" w:cs="仿宋_GB2312" w:eastAsia="仿宋_GB2312"/>
                <w:sz w:val="21"/>
              </w:rPr>
              <w:t>PPR</w:t>
            </w:r>
            <w:r>
              <w:rPr>
                <w:rFonts w:ascii="仿宋_GB2312" w:hAnsi="仿宋_GB2312" w:cs="仿宋_GB2312" w:eastAsia="仿宋_GB2312"/>
                <w:sz w:val="21"/>
              </w:rPr>
              <w:t>管</w:t>
            </w:r>
            <w:r>
              <w:rPr>
                <w:rFonts w:ascii="仿宋_GB2312" w:hAnsi="仿宋_GB2312" w:cs="仿宋_GB2312" w:eastAsia="仿宋_GB2312"/>
                <w:sz w:val="21"/>
              </w:rPr>
              <w:t>DN32</w:t>
            </w:r>
            <w:r>
              <w:rPr>
                <w:rFonts w:ascii="仿宋_GB2312" w:hAnsi="仿宋_GB2312" w:cs="仿宋_GB2312" w:eastAsia="仿宋_GB2312"/>
                <w:sz w:val="21"/>
              </w:rPr>
              <w:t>、</w:t>
            </w:r>
            <w:r>
              <w:rPr>
                <w:rFonts w:ascii="仿宋_GB2312" w:hAnsi="仿宋_GB2312" w:cs="仿宋_GB2312" w:eastAsia="仿宋_GB2312"/>
                <w:sz w:val="21"/>
              </w:rPr>
              <w:t>DN20</w:t>
            </w:r>
            <w:r>
              <w:rPr>
                <w:rFonts w:ascii="仿宋_GB2312" w:hAnsi="仿宋_GB2312" w:cs="仿宋_GB2312" w:eastAsia="仿宋_GB2312"/>
                <w:sz w:val="21"/>
              </w:rPr>
              <w:t>规格及其快速取水阀等工程内容</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具体详见工程量清单。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三、工期：120日历日</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四、质量标准：达到国家现行施工验收规范</w:t>
            </w:r>
            <w:r>
              <w:rPr>
                <w:rFonts w:ascii="仿宋_GB2312" w:hAnsi="仿宋_GB2312" w:cs="仿宋_GB2312" w:eastAsia="仿宋_GB2312"/>
                <w:sz w:val="21"/>
              </w:rPr>
              <w:t>“合格 ”标准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五、付款方式：签订合同后支付预付款，达到付款条件</w:t>
            </w:r>
            <w:r>
              <w:rPr>
                <w:rFonts w:ascii="仿宋_GB2312" w:hAnsi="仿宋_GB2312" w:cs="仿宋_GB2312" w:eastAsia="仿宋_GB2312"/>
                <w:sz w:val="21"/>
              </w:rPr>
              <w:t>15</w:t>
            </w:r>
            <w:r>
              <w:rPr>
                <w:rFonts w:ascii="仿宋_GB2312" w:hAnsi="仿宋_GB2312" w:cs="仿宋_GB2312" w:eastAsia="仿宋_GB2312"/>
                <w:sz w:val="21"/>
              </w:rPr>
              <w:t>日内，支付合同总金额的</w:t>
            </w:r>
            <w:r>
              <w:rPr>
                <w:rFonts w:ascii="仿宋_GB2312" w:hAnsi="仿宋_GB2312" w:cs="仿宋_GB2312" w:eastAsia="仿宋_GB2312"/>
                <w:sz w:val="21"/>
              </w:rPr>
              <w:t>40%</w:t>
            </w:r>
            <w:r>
              <w:rPr>
                <w:rFonts w:ascii="仿宋_GB2312" w:hAnsi="仿宋_GB2312" w:cs="仿宋_GB2312" w:eastAsia="仿宋_GB2312"/>
                <w:sz w:val="21"/>
              </w:rPr>
              <w:t>。项目施工竣工后，达到付款条件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45%</w:t>
            </w:r>
            <w:r>
              <w:rPr>
                <w:rFonts w:ascii="仿宋_GB2312" w:hAnsi="仿宋_GB2312" w:cs="仿宋_GB2312" w:eastAsia="仿宋_GB2312"/>
                <w:sz w:val="21"/>
              </w:rPr>
              <w:t>，项目验收合格后，达到付款条件起</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12%，剩余3%作为质保金</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 ”标准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 供2023年度财务审计报告或磋商前6个月内银行资信证明或财政部门认可的政府采购专 业担保机构出具的投标担保函）； 3、具有履行合同所必需的设备和专业技术能力的书 面声明（格式详见附件）； 4、具有依法缴纳税收和社会保障资金的良好记录 （提供磋 商前12个月内任一月份的社保和缴纳税收的证明，依法不需要缴纳社会保障资金、 免税 或无须缴纳税款的供应商，应提供相关证明文件)； 5、参加政府采购活动前 3 年内在经 营活动中没有重大违法记录的书面声明（格式详见附件）。供应商需在项目电子化交易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具有良好的商业信誉和健全的财务会计制度（提供2023年度财务审计报告或磋商前6个 月内银行资信证明或财政部门认可的政府采购专业担保机构出具的投标担保函）；供应 商需在项目电子化交易系统中按要求上传相 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投标单位须提供建设行政主管部门颁发市政公用工程施工总承包三级（含三级）及以上资质或电力工程施工总承包三级（含三级）及以上资质，并具有合格有效的安全生产许可证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拟派项目经理须具备市政公用工程专业或机电工程专业二级及以上注册建造师及安全生产考核合格证书，在本单位注册且无在建工程和不良记录（提供无在建工程、无不良记录承诺书）；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响应文件上关键页需法定代表人或其委托代理人签字或盖章</w:t>
            </w:r>
          </w:p>
        </w:tc>
        <w:tc>
          <w:tcPr>
            <w:tcW w:type="dxa" w:w="1661"/>
          </w:tcPr>
          <w:p>
            <w:pPr>
              <w:pStyle w:val="null3"/>
            </w:pPr>
            <w:r>
              <w:rPr>
                <w:rFonts w:ascii="仿宋_GB2312" w:hAnsi="仿宋_GB2312" w:cs="仿宋_GB2312" w:eastAsia="仿宋_GB2312"/>
              </w:rPr>
              <w:t>响应文件封面 商务及技术响应偏离表docx.docx 已标价工程量清单 中小企业声明函 残疾人福利性单位声明函 报价函 供应商应提交的相关资格证明材料.pdf 商务、技术方案.docx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 等非实质性的格式、形式问题限制和影响供应 商响应)</w:t>
            </w:r>
          </w:p>
        </w:tc>
        <w:tc>
          <w:tcPr>
            <w:tcW w:type="dxa" w:w="1661"/>
          </w:tcPr>
          <w:p>
            <w:pPr>
              <w:pStyle w:val="null3"/>
            </w:pPr>
            <w:r>
              <w:rPr>
                <w:rFonts w:ascii="仿宋_GB2312" w:hAnsi="仿宋_GB2312" w:cs="仿宋_GB2312" w:eastAsia="仿宋_GB2312"/>
              </w:rPr>
              <w:t>响应文件封面 商务及技术响应偏离表docx.docx 已标价工程量清单 中小企业声明函 残疾人福利性单位声明函 报价函 供应商应提交的相关资格证明材料.pdf 商务、技术方案.docx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针对投标人提供的项目进度安排，从整体工序安排紧凑合理，各部分任务及其完成时间明确，总进度措施是否合理可行等方面进行综合评分： ①进度安排得当、合理得5.1-9分； ②进度安排基本得当、合理得3.1-5分； ③进度安排不合理得1-3分。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评委根据编制内容的可行性、 完整性等综合评比： ①编制详细、较完整、切实可 行的得7-10分； ②编制较详细、可行性一般的 得4-6分； ③编制粗略、可行性不足的得 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采用新材料、新设备、新工艺、新技术对提供工程质量安全、缩短工期、降低 成本的措施</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提供2022年01月01日至今完成的类似业绩(以竣工验收证明材料落款时间为准)一项得2分，最多得6分。需附类似业绩的中标(成交) 通知书或合同或竣工验收证明材料复印件或扫描件并加盖公章。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具有五大员(质量员、安全员、施工员、材料员、资料员)上岗证书(安全员附安全生产考核合格证)的每证得1分；有相应职称证(初级及以上均 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①经资格审查合格的磋商响 应文件，其磋商报价有效； ②满足磋商文件要求且最后 提交价格最低的磋商报价为磋商基准价； ③磋商报价得分=(磋商基准价/最后磋商报价)×30%× 100 ④磋商报价不完整的，本项得 0 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详见附件：商务、技术方案.docx</w:t>
      </w:r>
    </w:p>
    <w:p>
      <w:pPr>
        <w:pStyle w:val="null3"/>
        <w:ind w:firstLine="960"/>
      </w:pPr>
      <w:r>
        <w:rPr>
          <w:rFonts w:ascii="仿宋_GB2312" w:hAnsi="仿宋_GB2312" w:cs="仿宋_GB2312" w:eastAsia="仿宋_GB2312"/>
        </w:rPr>
        <w:t>详见附件：商务及技术响应偏离表docx.docx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