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版本号：HHZB2025-ZC-001820250516001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中医综合诊断系统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HHZB2025-ZC-0018</w:t>
      </w:r>
      <w:r>
        <w:br/>
      </w:r>
      <w:r>
        <w:br/>
      </w:r>
      <w:r>
        <w:br/>
      </w:r>
    </w:p>
    <w:p>
      <w:pPr>
        <w:pStyle w:val="null3"/>
        <w:jc w:val="center"/>
        <w:outlineLvl w:val="2"/>
      </w:pPr>
      <w:r>
        <w:rPr>
          <w:rFonts w:ascii="仿宋_GB2312" w:hAnsi="仿宋_GB2312" w:cs="仿宋_GB2312" w:eastAsia="仿宋_GB2312"/>
          <w:sz w:val="28"/>
          <w:b/>
        </w:rPr>
        <w:t>铜川市王益区中医医院</w:t>
      </w:r>
    </w:p>
    <w:p>
      <w:pPr>
        <w:pStyle w:val="null3"/>
        <w:jc w:val="center"/>
        <w:outlineLvl w:val="2"/>
      </w:pPr>
      <w:r>
        <w:rPr>
          <w:rFonts w:ascii="仿宋_GB2312" w:hAnsi="仿宋_GB2312" w:cs="仿宋_GB2312" w:eastAsia="仿宋_GB2312"/>
          <w:sz w:val="28"/>
          <w:b/>
        </w:rPr>
        <w:t>陕西徽宏招标有限公司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陕西徽宏招标有限公司</w:t>
      </w:r>
      <w:r>
        <w:rPr>
          <w:rFonts w:ascii="仿宋_GB2312" w:hAnsi="仿宋_GB2312" w:cs="仿宋_GB2312" w:eastAsia="仿宋_GB2312"/>
        </w:rPr>
        <w:t>（以下简称“代理机构”）受</w:t>
      </w:r>
      <w:r>
        <w:rPr>
          <w:rFonts w:ascii="仿宋_GB2312" w:hAnsi="仿宋_GB2312" w:cs="仿宋_GB2312" w:eastAsia="仿宋_GB2312"/>
        </w:rPr>
        <w:t>铜川市王益区中医医院</w:t>
      </w:r>
      <w:r>
        <w:rPr>
          <w:rFonts w:ascii="仿宋_GB2312" w:hAnsi="仿宋_GB2312" w:cs="仿宋_GB2312" w:eastAsia="仿宋_GB2312"/>
        </w:rPr>
        <w:t>委托，拟对</w:t>
      </w:r>
      <w:r>
        <w:rPr>
          <w:rFonts w:ascii="仿宋_GB2312" w:hAnsi="仿宋_GB2312" w:cs="仿宋_GB2312" w:eastAsia="仿宋_GB2312"/>
        </w:rPr>
        <w:t>中医综合诊断系统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HHZB2025-ZC-0018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中医综合诊断系统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结合我院中医药业务发展实际，现需采购中医综合诊断系统，具体内容详见采购要求。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采购包1（中医综合诊断系统）：属于专门面向中小企业采购。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制造商直接来投标的，需提供制造商的《医疗器械生产许可证》及投标产品《医疗器械注册证》复印件；代理商来投标的，需提供代理商的《医疗器械经营备案凭证或备案编号》或《医疗器械经营许可证》和投标产品的制造商的《医疗器械注册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铜川市王益区黄堡镇五星村吕家崖组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张妍婷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0919-7189353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陕西徽宏招标有限公司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陕西省西安市雁塔区二环南路东段22号凯森盛世一号A座1403室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13992093114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代理服务费收费标准：1、本项目收取代理服务费 代理服务费用收取对象：中标/成交供应商 代理服务费收费标准：采购代理服务费依据《国家计委关于印发招标代理服务收费管理暂行办法的通知》（计价格〔2002〕1980号）和《关于招标代理服务收费有关问题的通知》（发改办价格〔2003〕857号）文件规定标准下浮20%收取， 2、代理服务费收取账户信息： 银行户名：陕西徽宏招标有限公司 开户银行：中国建设银行股份有限公司西安交大支行 账 号：6105 0172 4100 0000 0607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铜川市王益区中医医院</w:t>
      </w:r>
      <w:r>
        <w:rPr>
          <w:rFonts w:ascii="仿宋_GB2312" w:hAnsi="仿宋_GB2312" w:cs="仿宋_GB2312" w:eastAsia="仿宋_GB2312"/>
        </w:rPr>
        <w:t>和</w:t>
      </w:r>
      <w:r>
        <w:rPr>
          <w:rFonts w:ascii="仿宋_GB2312" w:hAnsi="仿宋_GB2312" w:cs="仿宋_GB2312" w:eastAsia="仿宋_GB2312"/>
        </w:rPr>
        <w:t>陕西徽宏招标有限公司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陕西徽宏招标有限公司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陕西徽宏招标有限公司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陕西徽宏招标有限公司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陕西徽宏招标有限公司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陕西徽宏招标有限公司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陶婕</w:t>
      </w:r>
    </w:p>
    <w:p>
      <w:pPr>
        <w:pStyle w:val="null3"/>
      </w:pPr>
      <w:r>
        <w:rPr>
          <w:rFonts w:ascii="仿宋_GB2312" w:hAnsi="仿宋_GB2312" w:cs="仿宋_GB2312" w:eastAsia="仿宋_GB2312"/>
        </w:rPr>
        <w:t>联系电话：13992093114</w:t>
      </w:r>
    </w:p>
    <w:p>
      <w:pPr>
        <w:pStyle w:val="null3"/>
      </w:pPr>
      <w:r>
        <w:rPr>
          <w:rFonts w:ascii="仿宋_GB2312" w:hAnsi="仿宋_GB2312" w:cs="仿宋_GB2312" w:eastAsia="仿宋_GB2312"/>
        </w:rPr>
        <w:t>地址： 陕西省西安市雁塔区二环南路东段22号凯森盛世一号A座1403室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结合我院中医药业务发展实际，现需采购中医综合诊断系统，具体内容详见采购要求。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铜川市王益区中医医院中医综合诊断系统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标的名称：铜川市王益区中医医院中医综合诊断系统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便携式终端</w:t>
            </w:r>
          </w:p>
          <w:p>
            <w:pPr>
              <w:pStyle w:val="null3"/>
              <w:jc w:val="both"/>
            </w:pPr>
            <w:r>
              <w:rPr>
                <w:rFonts w:ascii="仿宋_GB2312" w:hAnsi="仿宋_GB2312" w:cs="仿宋_GB2312" w:eastAsia="仿宋_GB2312"/>
                <w:sz w:val="28"/>
              </w:rPr>
              <w:t>一、主要功能：</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 脉象诊断：指夹式脉象传感器，利用脉象传感器采集波形，并将脉象的位、数、形、势和脉图的各项参数自动分析，以判定出测试者脉类，达到客观的脉象诊断效果。</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、舌象诊断：采用拍摄系统采集人的舌部信息，通过舌象分析软件对舌部的参数进行分析以判定舌型、苔质、舌态、苔色、舌色等信息。</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、面象诊断：采用拍摄系统采集人的面部信息，通过面象分析软件对面部的参数进行分析，以判定面色、唇色、光泽度、面部特征信息，达到客观数字化的面象诊断效果。</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调理方案：通过中医四诊合参，判断人体脏腑状态，对人体的整体健康状态和趋势做个评判，预估疾患风险，提供个性化中医养生调理方案；包含食疗建议、运动健康、中药建议、体质调理、理疗穴位等内容。</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、档案查看功能：可以对检测者的档案进行查看。</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、二维码扫描功能：系统给出二维码，检测者用手机浏览器进行扫描，来获取网页报告，报告内容包括：</w:t>
            </w:r>
          </w:p>
          <w:p>
            <w:pPr>
              <w:pStyle w:val="null3"/>
              <w:jc w:val="both"/>
            </w:pPr>
            <w:r>
              <w:rPr>
                <w:rFonts w:ascii="仿宋_GB2312" w:hAnsi="仿宋_GB2312" w:cs="仿宋_GB2312" w:eastAsia="仿宋_GB2312"/>
                <w:sz w:val="28"/>
              </w:rPr>
              <w:t>6.1</w:t>
            </w:r>
            <w:r>
              <w:rPr>
                <w:rFonts w:ascii="仿宋_GB2312" w:hAnsi="仿宋_GB2312" w:cs="仿宋_GB2312" w:eastAsia="仿宋_GB2312"/>
                <w:sz w:val="28"/>
              </w:rPr>
              <w:t>理疗参数：包含气血状态，湿气指数、血瘀指数、心率、血氧等。</w:t>
            </w:r>
          </w:p>
          <w:p>
            <w:pPr>
              <w:pStyle w:val="null3"/>
              <w:jc w:val="both"/>
            </w:pPr>
            <w:r>
              <w:rPr>
                <w:rFonts w:ascii="仿宋_GB2312" w:hAnsi="仿宋_GB2312" w:cs="仿宋_GB2312" w:eastAsia="仿宋_GB2312"/>
                <w:sz w:val="28"/>
              </w:rPr>
              <w:t>6.2</w:t>
            </w:r>
            <w:r>
              <w:rPr>
                <w:rFonts w:ascii="仿宋_GB2312" w:hAnsi="仿宋_GB2312" w:cs="仿宋_GB2312" w:eastAsia="仿宋_GB2312"/>
                <w:sz w:val="28"/>
              </w:rPr>
              <w:t>体质辨识：可对中医九种体质做辨识判定。</w:t>
            </w:r>
          </w:p>
          <w:p>
            <w:pPr>
              <w:pStyle w:val="null3"/>
              <w:jc w:val="both"/>
            </w:pPr>
            <w:r>
              <w:rPr>
                <w:rFonts w:ascii="仿宋_GB2312" w:hAnsi="仿宋_GB2312" w:cs="仿宋_GB2312" w:eastAsia="仿宋_GB2312"/>
                <w:sz w:val="28"/>
              </w:rPr>
              <w:t>6.3</w:t>
            </w:r>
            <w:r>
              <w:rPr>
                <w:rFonts w:ascii="仿宋_GB2312" w:hAnsi="仿宋_GB2312" w:cs="仿宋_GB2312" w:eastAsia="仿宋_GB2312"/>
                <w:sz w:val="28"/>
              </w:rPr>
              <w:t>养生调理方案：对人体的整体健康状态和趋势进行评判，得出个性化中医养生调理方案，包括食疗建议、运动健康方案、中药建议、体质调理方案及理疗穴位建议。</w:t>
            </w:r>
          </w:p>
          <w:p>
            <w:pPr>
              <w:pStyle w:val="null3"/>
              <w:jc w:val="both"/>
            </w:pPr>
            <w:r>
              <w:rPr>
                <w:rFonts w:ascii="仿宋_GB2312" w:hAnsi="仿宋_GB2312" w:cs="仿宋_GB2312" w:eastAsia="仿宋_GB2312"/>
                <w:sz w:val="28"/>
              </w:rPr>
              <w:t>6.4</w:t>
            </w:r>
            <w:r>
              <w:rPr>
                <w:rFonts w:ascii="仿宋_GB2312" w:hAnsi="仿宋_GB2312" w:cs="仿宋_GB2312" w:eastAsia="仿宋_GB2312"/>
                <w:sz w:val="28"/>
              </w:rPr>
              <w:t>脏腑辨证：根据四诊合参，得到脏腑情况以及相应的调理方案。</w:t>
            </w:r>
          </w:p>
          <w:p>
            <w:pPr>
              <w:pStyle w:val="null3"/>
              <w:jc w:val="both"/>
            </w:pPr>
            <w:r>
              <w:rPr>
                <w:rFonts w:ascii="仿宋_GB2312" w:hAnsi="仿宋_GB2312" w:cs="仿宋_GB2312" w:eastAsia="仿宋_GB2312"/>
                <w:sz w:val="28"/>
              </w:rPr>
              <w:t>6.5</w:t>
            </w:r>
            <w:r>
              <w:rPr>
                <w:rFonts w:ascii="仿宋_GB2312" w:hAnsi="仿宋_GB2312" w:cs="仿宋_GB2312" w:eastAsia="仿宋_GB2312"/>
                <w:sz w:val="28"/>
              </w:rPr>
              <w:t>疾病风险预估：对检测者当前易患疾病的风险等级进行判断。</w:t>
            </w:r>
          </w:p>
          <w:p>
            <w:pPr>
              <w:pStyle w:val="null3"/>
              <w:jc w:val="both"/>
            </w:pPr>
            <w:r>
              <w:rPr>
                <w:rFonts w:ascii="仿宋_GB2312" w:hAnsi="仿宋_GB2312" w:cs="仿宋_GB2312" w:eastAsia="仿宋_GB2312"/>
                <w:sz w:val="28"/>
              </w:rPr>
              <w:t>二、硬件配置参数说明：</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PAD</w:t>
            </w:r>
            <w:r>
              <w:rPr>
                <w:rFonts w:ascii="仿宋_GB2312" w:hAnsi="仿宋_GB2312" w:cs="仿宋_GB2312" w:eastAsia="仿宋_GB2312"/>
                <w:sz w:val="28"/>
              </w:rPr>
              <w:t>参数：</w:t>
            </w:r>
          </w:p>
          <w:p>
            <w:pPr>
              <w:pStyle w:val="null3"/>
              <w:jc w:val="both"/>
            </w:pPr>
            <w:r>
              <w:rPr>
                <w:rFonts w:ascii="仿宋_GB2312" w:hAnsi="仿宋_GB2312" w:cs="仿宋_GB2312" w:eastAsia="仿宋_GB2312"/>
                <w:sz w:val="28"/>
              </w:rPr>
              <w:t>分辨率：</w:t>
            </w:r>
            <w:r>
              <w:rPr>
                <w:rFonts w:ascii="仿宋_GB2312" w:hAnsi="仿宋_GB2312" w:cs="仿宋_GB2312" w:eastAsia="仿宋_GB2312"/>
                <w:sz w:val="28"/>
              </w:rPr>
              <w:t>1920*1200</w:t>
            </w:r>
            <w:r>
              <w:rPr>
                <w:rFonts w:ascii="仿宋_GB2312" w:hAnsi="仿宋_GB2312" w:cs="仿宋_GB2312" w:eastAsia="仿宋_GB2312"/>
                <w:sz w:val="28"/>
              </w:rPr>
              <w:t>及</w:t>
            </w:r>
            <w:r>
              <w:rPr>
                <w:rFonts w:ascii="仿宋_GB2312" w:hAnsi="仿宋_GB2312" w:cs="仿宋_GB2312" w:eastAsia="仿宋_GB2312"/>
                <w:sz w:val="28"/>
              </w:rPr>
              <w:t>以上</w:t>
            </w:r>
          </w:p>
          <w:p>
            <w:pPr>
              <w:pStyle w:val="null3"/>
              <w:jc w:val="both"/>
            </w:pPr>
            <w:r>
              <w:rPr>
                <w:rFonts w:ascii="仿宋_GB2312" w:hAnsi="仿宋_GB2312" w:cs="仿宋_GB2312" w:eastAsia="仿宋_GB2312"/>
                <w:sz w:val="28"/>
              </w:rPr>
              <w:t>内存：</w:t>
            </w:r>
            <w:r>
              <w:rPr>
                <w:rFonts w:ascii="仿宋_GB2312" w:hAnsi="仿宋_GB2312" w:cs="仿宋_GB2312" w:eastAsia="仿宋_GB2312"/>
                <w:sz w:val="28"/>
              </w:rPr>
              <w:t>≥</w:t>
            </w:r>
            <w:r>
              <w:rPr>
                <w:rFonts w:ascii="仿宋_GB2312" w:hAnsi="仿宋_GB2312" w:cs="仿宋_GB2312" w:eastAsia="仿宋_GB2312"/>
                <w:sz w:val="28"/>
              </w:rPr>
              <w:t>8G</w:t>
            </w:r>
          </w:p>
          <w:p>
            <w:pPr>
              <w:pStyle w:val="null3"/>
              <w:jc w:val="both"/>
            </w:pPr>
            <w:r>
              <w:rPr>
                <w:rFonts w:ascii="仿宋_GB2312" w:hAnsi="仿宋_GB2312" w:cs="仿宋_GB2312" w:eastAsia="仿宋_GB2312"/>
                <w:sz w:val="28"/>
              </w:rPr>
              <w:t>存储：</w:t>
            </w:r>
            <w:r>
              <w:rPr>
                <w:rFonts w:ascii="仿宋_GB2312" w:hAnsi="仿宋_GB2312" w:cs="仿宋_GB2312" w:eastAsia="仿宋_GB2312"/>
                <w:sz w:val="28"/>
              </w:rPr>
              <w:t>≥</w:t>
            </w:r>
            <w:r>
              <w:rPr>
                <w:rFonts w:ascii="仿宋_GB2312" w:hAnsi="仿宋_GB2312" w:cs="仿宋_GB2312" w:eastAsia="仿宋_GB2312"/>
                <w:sz w:val="28"/>
              </w:rPr>
              <w:t>128G</w:t>
            </w:r>
          </w:p>
          <w:p>
            <w:pPr>
              <w:pStyle w:val="null3"/>
              <w:jc w:val="both"/>
            </w:pPr>
            <w:r>
              <w:rPr>
                <w:rFonts w:ascii="仿宋_GB2312" w:hAnsi="仿宋_GB2312" w:cs="仿宋_GB2312" w:eastAsia="仿宋_GB2312"/>
                <w:sz w:val="28"/>
              </w:rPr>
              <w:t>屏幕尺寸：</w:t>
            </w:r>
            <w:r>
              <w:rPr>
                <w:rFonts w:ascii="仿宋_GB2312" w:hAnsi="仿宋_GB2312" w:cs="仿宋_GB2312" w:eastAsia="仿宋_GB2312"/>
                <w:sz w:val="28"/>
              </w:rPr>
              <w:t>8</w:t>
            </w:r>
            <w:r>
              <w:rPr>
                <w:rFonts w:ascii="仿宋_GB2312" w:hAnsi="仿宋_GB2312" w:cs="仿宋_GB2312" w:eastAsia="仿宋_GB2312"/>
                <w:sz w:val="28"/>
              </w:rPr>
              <w:t>寸</w:t>
            </w:r>
            <w:r>
              <w:rPr>
                <w:rFonts w:ascii="仿宋_GB2312" w:hAnsi="仿宋_GB2312" w:cs="仿宋_GB2312" w:eastAsia="仿宋_GB2312"/>
                <w:sz w:val="28"/>
              </w:rPr>
              <w:t>及</w:t>
            </w:r>
            <w:r>
              <w:rPr>
                <w:rFonts w:ascii="仿宋_GB2312" w:hAnsi="仿宋_GB2312" w:cs="仿宋_GB2312" w:eastAsia="仿宋_GB2312"/>
                <w:sz w:val="28"/>
              </w:rPr>
              <w:t>以上</w:t>
            </w:r>
          </w:p>
          <w:p>
            <w:pPr>
              <w:pStyle w:val="null3"/>
              <w:jc w:val="both"/>
            </w:pPr>
            <w:r>
              <w:rPr>
                <w:rFonts w:ascii="仿宋_GB2312" w:hAnsi="仿宋_GB2312" w:cs="仿宋_GB2312" w:eastAsia="仿宋_GB2312"/>
                <w:sz w:val="28"/>
              </w:rPr>
              <w:t>前置摄像头分辨率：</w:t>
            </w:r>
            <w:r>
              <w:rPr>
                <w:rFonts w:ascii="仿宋_GB2312" w:hAnsi="仿宋_GB2312" w:cs="仿宋_GB2312" w:eastAsia="仿宋_GB2312"/>
                <w:sz w:val="28"/>
              </w:rPr>
              <w:t>4</w:t>
            </w:r>
            <w:r>
              <w:rPr>
                <w:rFonts w:ascii="仿宋_GB2312" w:hAnsi="仿宋_GB2312" w:cs="仿宋_GB2312" w:eastAsia="仿宋_GB2312"/>
                <w:sz w:val="28"/>
              </w:rPr>
              <w:t>00W</w:t>
            </w:r>
            <w:r>
              <w:rPr>
                <w:rFonts w:ascii="仿宋_GB2312" w:hAnsi="仿宋_GB2312" w:cs="仿宋_GB2312" w:eastAsia="仿宋_GB2312"/>
                <w:sz w:val="28"/>
              </w:rPr>
              <w:t>及</w:t>
            </w:r>
            <w:r>
              <w:rPr>
                <w:rFonts w:ascii="仿宋_GB2312" w:hAnsi="仿宋_GB2312" w:cs="仿宋_GB2312" w:eastAsia="仿宋_GB2312"/>
                <w:sz w:val="28"/>
              </w:rPr>
              <w:t>以上</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）脉象探头参数</w:t>
            </w:r>
          </w:p>
          <w:p>
            <w:pPr>
              <w:pStyle w:val="null3"/>
              <w:jc w:val="both"/>
            </w:pPr>
            <w:r>
              <w:rPr>
                <w:rFonts w:ascii="仿宋_GB2312" w:hAnsi="仿宋_GB2312" w:cs="仿宋_GB2312" w:eastAsia="仿宋_GB2312"/>
                <w:sz w:val="28"/>
              </w:rPr>
              <w:t>采集方式：指夹式红外光采集</w:t>
            </w:r>
          </w:p>
          <w:p>
            <w:pPr>
              <w:pStyle w:val="null3"/>
              <w:jc w:val="both"/>
            </w:pPr>
            <w:r>
              <w:rPr>
                <w:rFonts w:ascii="仿宋_GB2312" w:hAnsi="仿宋_GB2312" w:cs="仿宋_GB2312" w:eastAsia="仿宋_GB2312"/>
                <w:sz w:val="28"/>
              </w:rPr>
              <w:t>测量范围：</w:t>
            </w:r>
            <w:r>
              <w:rPr>
                <w:rFonts w:ascii="仿宋_GB2312" w:hAnsi="仿宋_GB2312" w:cs="仿宋_GB2312" w:eastAsia="仿宋_GB2312"/>
                <w:sz w:val="28"/>
              </w:rPr>
              <w:t>30-250bpm</w:t>
            </w:r>
          </w:p>
          <w:p>
            <w:pPr>
              <w:pStyle w:val="null3"/>
              <w:jc w:val="both"/>
            </w:pPr>
            <w:r>
              <w:rPr>
                <w:rFonts w:ascii="仿宋_GB2312" w:hAnsi="仿宋_GB2312" w:cs="仿宋_GB2312" w:eastAsia="仿宋_GB2312"/>
                <w:sz w:val="28"/>
              </w:rPr>
              <w:t>测量精度：</w:t>
            </w:r>
            <w:r>
              <w:rPr>
                <w:rFonts w:ascii="仿宋_GB2312" w:hAnsi="仿宋_GB2312" w:cs="仿宋_GB2312" w:eastAsia="仿宋_GB2312"/>
                <w:sz w:val="28"/>
              </w:rPr>
              <w:t>±</w:t>
            </w:r>
            <w:r>
              <w:rPr>
                <w:rFonts w:ascii="仿宋_GB2312" w:hAnsi="仿宋_GB2312" w:cs="仿宋_GB2312" w:eastAsia="仿宋_GB2312"/>
                <w:sz w:val="28"/>
              </w:rPr>
              <w:t>2bpm</w:t>
            </w:r>
          </w:p>
          <w:p>
            <w:pPr>
              <w:pStyle w:val="null3"/>
              <w:jc w:val="both"/>
            </w:pPr>
            <w:r>
              <w:rPr>
                <w:rFonts w:ascii="仿宋_GB2312" w:hAnsi="仿宋_GB2312" w:cs="仿宋_GB2312" w:eastAsia="仿宋_GB2312"/>
                <w:sz w:val="28"/>
              </w:rPr>
              <w:t>显示精度：</w:t>
            </w:r>
            <w:r>
              <w:rPr>
                <w:rFonts w:ascii="仿宋_GB2312" w:hAnsi="仿宋_GB2312" w:cs="仿宋_GB2312" w:eastAsia="仿宋_GB2312"/>
                <w:sz w:val="28"/>
              </w:rPr>
              <w:t>1bpm</w:t>
            </w:r>
            <w:r>
              <w:rPr>
                <w:rFonts w:ascii="仿宋_GB2312" w:hAnsi="仿宋_GB2312" w:cs="仿宋_GB2312" w:eastAsia="仿宋_GB2312"/>
                <w:sz w:val="28"/>
              </w:rPr>
              <w:t>及</w:t>
            </w:r>
            <w:r>
              <w:rPr>
                <w:rFonts w:ascii="仿宋_GB2312" w:hAnsi="仿宋_GB2312" w:cs="仿宋_GB2312" w:eastAsia="仿宋_GB2312"/>
                <w:sz w:val="28"/>
              </w:rPr>
              <w:t>以上</w:t>
            </w:r>
          </w:p>
          <w:p>
            <w:pPr>
              <w:pStyle w:val="null3"/>
              <w:jc w:val="both"/>
            </w:pPr>
            <w:r>
              <w:rPr>
                <w:rFonts w:ascii="仿宋_GB2312" w:hAnsi="仿宋_GB2312" w:cs="仿宋_GB2312" w:eastAsia="仿宋_GB2312"/>
                <w:sz w:val="28"/>
              </w:rPr>
              <w:t>采样率：</w:t>
            </w:r>
            <w:r>
              <w:rPr>
                <w:rFonts w:ascii="仿宋_GB2312" w:hAnsi="仿宋_GB2312" w:cs="仿宋_GB2312" w:eastAsia="仿宋_GB2312"/>
                <w:sz w:val="28"/>
              </w:rPr>
              <w:t>300Hz</w:t>
            </w:r>
          </w:p>
          <w:p>
            <w:pPr>
              <w:pStyle w:val="null3"/>
              <w:jc w:val="both"/>
            </w:pPr>
            <w:r>
              <w:rPr>
                <w:rFonts w:ascii="仿宋_GB2312" w:hAnsi="仿宋_GB2312" w:cs="仿宋_GB2312" w:eastAsia="仿宋_GB2312"/>
                <w:sz w:val="28"/>
              </w:rPr>
              <w:t>三、经典处方系统：</w:t>
            </w:r>
          </w:p>
          <w:p>
            <w:pPr>
              <w:pStyle w:val="null3"/>
              <w:ind w:firstLine="560"/>
              <w:jc w:val="both"/>
            </w:pPr>
            <w:r>
              <w:rPr>
                <w:rFonts w:ascii="仿宋_GB2312" w:hAnsi="仿宋_GB2312" w:cs="仿宋_GB2312" w:eastAsia="仿宋_GB2312"/>
                <w:sz w:val="28"/>
              </w:rPr>
              <w:t>可依据四诊信息，得出病人的病名，证候名，由专家数据库开出相应的治疗方剂，包括中医药方，按摩，针灸穴位的选取，中成药等。</w:t>
            </w:r>
          </w:p>
          <w:p>
            <w:pPr>
              <w:pStyle w:val="null3"/>
              <w:ind w:firstLine="560"/>
              <w:jc w:val="both"/>
            </w:pPr>
            <w:r>
              <w:rPr>
                <w:rFonts w:ascii="仿宋_GB2312" w:hAnsi="仿宋_GB2312" w:cs="仿宋_GB2312" w:eastAsia="仿宋_GB2312"/>
                <w:sz w:val="28"/>
              </w:rPr>
              <w:t>应用软件、数据库：应用软件终身免费升级，数据库终身免费实时更新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rPr>
              <w:t>中医综合诊断系统（中心服务站）（此项为本项目的</w:t>
            </w:r>
            <w:r>
              <w:rPr>
                <w:rFonts w:ascii="仿宋_GB2312" w:hAnsi="仿宋_GB2312" w:cs="仿宋_GB2312" w:eastAsia="仿宋_GB2312"/>
                <w:sz w:val="28"/>
                <w:b/>
              </w:rPr>
              <w:t>核心产品</w:t>
            </w:r>
            <w:r>
              <w:rPr>
                <w:rFonts w:ascii="仿宋_GB2312" w:hAnsi="仿宋_GB2312" w:cs="仿宋_GB2312" w:eastAsia="仿宋_GB2312"/>
                <w:sz w:val="28"/>
                <w:b/>
              </w:rPr>
              <w:t>）</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技术参数：</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设备正常工作条件</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环境温度</w:t>
            </w:r>
            <w:r>
              <w:rPr>
                <w:rFonts w:ascii="仿宋_GB2312" w:hAnsi="仿宋_GB2312" w:cs="仿宋_GB2312" w:eastAsia="仿宋_GB2312"/>
                <w:sz w:val="24"/>
              </w:rPr>
              <w:t>: +10℃～+</w:t>
            </w:r>
            <w:r>
              <w:rPr>
                <w:rFonts w:ascii="仿宋_GB2312" w:hAnsi="仿宋_GB2312" w:cs="仿宋_GB2312" w:eastAsia="仿宋_GB2312"/>
                <w:sz w:val="24"/>
              </w:rPr>
              <w:t>4</w:t>
            </w:r>
            <w:r>
              <w:rPr>
                <w:rFonts w:ascii="仿宋_GB2312" w:hAnsi="仿宋_GB2312" w:cs="仿宋_GB2312" w:eastAsia="仿宋_GB2312"/>
                <w:sz w:val="24"/>
              </w:rPr>
              <w:t>0℃</w:t>
            </w:r>
          </w:p>
          <w:p>
            <w:pPr>
              <w:pStyle w:val="null3"/>
            </w:pPr>
            <w:r>
              <w:rPr>
                <w:rFonts w:ascii="仿宋_GB2312" w:hAnsi="仿宋_GB2312" w:cs="仿宋_GB2312" w:eastAsia="仿宋_GB2312"/>
                <w:sz w:val="24"/>
              </w:rPr>
              <w:t>2、</w:t>
            </w:r>
            <w:r>
              <w:rPr>
                <w:rFonts w:ascii="仿宋_GB2312" w:hAnsi="仿宋_GB2312" w:cs="仿宋_GB2312" w:eastAsia="仿宋_GB2312"/>
                <w:sz w:val="24"/>
              </w:rPr>
              <w:t>相对湿度</w:t>
            </w:r>
            <w:r>
              <w:rPr>
                <w:rFonts w:ascii="仿宋_GB2312" w:hAnsi="仿宋_GB2312" w:cs="仿宋_GB2312" w:eastAsia="仿宋_GB2312"/>
                <w:sz w:val="24"/>
              </w:rPr>
              <w:t>: ≤</w:t>
            </w:r>
            <w:r>
              <w:rPr>
                <w:rFonts w:ascii="仿宋_GB2312" w:hAnsi="仿宋_GB2312" w:cs="仿宋_GB2312" w:eastAsia="仿宋_GB2312"/>
                <w:sz w:val="24"/>
              </w:rPr>
              <w:t>8</w:t>
            </w:r>
            <w:r>
              <w:rPr>
                <w:rFonts w:ascii="仿宋_GB2312" w:hAnsi="仿宋_GB2312" w:cs="仿宋_GB2312" w:eastAsia="仿宋_GB2312"/>
                <w:sz w:val="24"/>
              </w:rPr>
              <w:t>0%</w:t>
            </w:r>
          </w:p>
          <w:p>
            <w:pPr>
              <w:pStyle w:val="null3"/>
            </w:pPr>
            <w:r>
              <w:rPr>
                <w:rFonts w:ascii="仿宋_GB2312" w:hAnsi="仿宋_GB2312" w:cs="仿宋_GB2312" w:eastAsia="仿宋_GB2312"/>
                <w:sz w:val="24"/>
              </w:rPr>
              <w:t>3、</w:t>
            </w:r>
            <w:r>
              <w:rPr>
                <w:rFonts w:ascii="仿宋_GB2312" w:hAnsi="仿宋_GB2312" w:cs="仿宋_GB2312" w:eastAsia="仿宋_GB2312"/>
                <w:sz w:val="24"/>
              </w:rPr>
              <w:t>大气压力</w:t>
            </w:r>
            <w:r>
              <w:rPr>
                <w:rFonts w:ascii="仿宋_GB2312" w:hAnsi="仿宋_GB2312" w:cs="仿宋_GB2312" w:eastAsia="仿宋_GB2312"/>
                <w:sz w:val="24"/>
              </w:rPr>
              <w:t xml:space="preserve">: </w:t>
            </w:r>
            <w:r>
              <w:rPr>
                <w:rFonts w:ascii="仿宋_GB2312" w:hAnsi="仿宋_GB2312" w:cs="仿宋_GB2312" w:eastAsia="仿宋_GB2312"/>
                <w:sz w:val="24"/>
              </w:rPr>
              <w:t>700</w:t>
            </w:r>
            <w:r>
              <w:rPr>
                <w:rFonts w:ascii="仿宋_GB2312" w:hAnsi="仿宋_GB2312" w:cs="仿宋_GB2312" w:eastAsia="仿宋_GB2312"/>
                <w:sz w:val="24"/>
              </w:rPr>
              <w:t>hPa～1060hPa</w:t>
            </w:r>
          </w:p>
          <w:p>
            <w:pPr>
              <w:pStyle w:val="null3"/>
            </w:pPr>
            <w:r>
              <w:rPr>
                <w:rFonts w:ascii="仿宋_GB2312" w:hAnsi="仿宋_GB2312" w:cs="仿宋_GB2312" w:eastAsia="仿宋_GB2312"/>
                <w:sz w:val="24"/>
              </w:rPr>
              <w:t>4、</w:t>
            </w:r>
            <w:r>
              <w:rPr>
                <w:rFonts w:ascii="仿宋_GB2312" w:hAnsi="仿宋_GB2312" w:cs="仿宋_GB2312" w:eastAsia="仿宋_GB2312"/>
                <w:sz w:val="24"/>
              </w:rPr>
              <w:t>电源</w:t>
            </w:r>
            <w:r>
              <w:rPr>
                <w:rFonts w:ascii="仿宋_GB2312" w:hAnsi="仿宋_GB2312" w:cs="仿宋_GB2312" w:eastAsia="仿宋_GB2312"/>
                <w:sz w:val="24"/>
              </w:rPr>
              <w:t xml:space="preserve">: </w:t>
            </w:r>
            <w:r>
              <w:rPr>
                <w:rFonts w:ascii="仿宋_GB2312" w:hAnsi="仿宋_GB2312" w:cs="仿宋_GB2312" w:eastAsia="仿宋_GB2312"/>
                <w:sz w:val="24"/>
              </w:rPr>
              <w:t>50Hz   220V</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）设备</w:t>
            </w:r>
            <w:r>
              <w:rPr>
                <w:rFonts w:ascii="仿宋_GB2312" w:hAnsi="仿宋_GB2312" w:cs="仿宋_GB2312" w:eastAsia="仿宋_GB2312"/>
                <w:sz w:val="24"/>
                <w:b/>
              </w:rPr>
              <w:t>配置要求</w:t>
            </w:r>
            <w:r>
              <w:rPr>
                <w:rFonts w:ascii="仿宋_GB2312" w:hAnsi="仿宋_GB2312" w:cs="仿宋_GB2312" w:eastAsia="仿宋_GB2312"/>
                <w:sz w:val="24"/>
                <w:b/>
              </w:rPr>
              <w:t>：</w:t>
            </w:r>
          </w:p>
          <w:p>
            <w:pPr>
              <w:pStyle w:val="null3"/>
              <w:ind w:left="360"/>
            </w:pPr>
            <w:r>
              <w:rPr>
                <w:rFonts w:ascii="仿宋_GB2312" w:hAnsi="仿宋_GB2312" w:cs="仿宋_GB2312" w:eastAsia="仿宋_GB2312"/>
                <w:sz w:val="24"/>
              </w:rPr>
              <w:t>1、产品组成：中医脉象诊断系统，中医舌面象诊断系统，中医体质辨识系统，个性化养生调理系统和经典处方系统</w:t>
            </w:r>
          </w:p>
          <w:p>
            <w:pPr>
              <w:pStyle w:val="null3"/>
            </w:pPr>
            <w:r>
              <w:rPr>
                <w:rFonts w:ascii="仿宋_GB2312" w:hAnsi="仿宋_GB2312" w:cs="仿宋_GB2312" w:eastAsia="仿宋_GB2312"/>
                <w:sz w:val="24"/>
              </w:rPr>
              <w:t>2、中医脉象诊断系统：袖带式脉搏采集装置，压力传感器，气路，袖带等；</w:t>
            </w:r>
          </w:p>
          <w:p>
            <w:pPr>
              <w:pStyle w:val="null3"/>
            </w:pPr>
            <w:r>
              <w:rPr>
                <w:rFonts w:ascii="仿宋_GB2312" w:hAnsi="仿宋_GB2312" w:cs="仿宋_GB2312" w:eastAsia="仿宋_GB2312"/>
                <w:sz w:val="24"/>
              </w:rPr>
              <w:t>3、中医舌面象诊断系统：舌面象采集，采集仓装置；</w:t>
            </w:r>
          </w:p>
          <w:p>
            <w:pPr>
              <w:pStyle w:val="null3"/>
            </w:pPr>
            <w:r>
              <w:rPr>
                <w:rFonts w:ascii="仿宋_GB2312" w:hAnsi="仿宋_GB2312" w:cs="仿宋_GB2312" w:eastAsia="仿宋_GB2312"/>
                <w:sz w:val="24"/>
              </w:rPr>
              <w:t>4、中医体质辨识系统；</w:t>
            </w:r>
          </w:p>
          <w:p>
            <w:pPr>
              <w:pStyle w:val="null3"/>
            </w:pPr>
            <w:r>
              <w:rPr>
                <w:rFonts w:ascii="仿宋_GB2312" w:hAnsi="仿宋_GB2312" w:cs="仿宋_GB2312" w:eastAsia="仿宋_GB2312"/>
                <w:sz w:val="24"/>
              </w:rPr>
              <w:t>5、个性化养生调理系统；</w:t>
            </w:r>
          </w:p>
          <w:p>
            <w:pPr>
              <w:pStyle w:val="null3"/>
            </w:pPr>
            <w:r>
              <w:rPr>
                <w:rFonts w:ascii="仿宋_GB2312" w:hAnsi="仿宋_GB2312" w:cs="仿宋_GB2312" w:eastAsia="仿宋_GB2312"/>
                <w:sz w:val="24"/>
              </w:rPr>
              <w:t>6、经典处方系统。</w:t>
            </w:r>
          </w:p>
          <w:p>
            <w:pPr>
              <w:pStyle w:val="null3"/>
              <w:ind w:left="360"/>
            </w:pPr>
            <w:r>
              <w:rPr>
                <w:rFonts w:ascii="仿宋_GB2312" w:hAnsi="仿宋_GB2312" w:cs="仿宋_GB2312" w:eastAsia="仿宋_GB2312"/>
                <w:sz w:val="24"/>
              </w:rPr>
              <w:t>7、由计算机、显示器、工作台车、键盘、鼠标等组成。仪器可移动。</w:t>
            </w:r>
          </w:p>
          <w:p>
            <w:pPr>
              <w:pStyle w:val="null3"/>
            </w:pPr>
            <w:r>
              <w:rPr>
                <w:rFonts w:ascii="仿宋_GB2312" w:hAnsi="仿宋_GB2312" w:cs="仿宋_GB2312" w:eastAsia="仿宋_GB2312"/>
                <w:sz w:val="24"/>
                <w:b/>
              </w:rPr>
              <w:t>（三）功能参数要求：</w:t>
            </w:r>
          </w:p>
          <w:p>
            <w:pPr>
              <w:pStyle w:val="null3"/>
            </w:pPr>
            <w:r>
              <w:rPr>
                <w:rFonts w:ascii="仿宋_GB2312" w:hAnsi="仿宋_GB2312" w:cs="仿宋_GB2312" w:eastAsia="仿宋_GB2312"/>
                <w:sz w:val="24"/>
                <w:b/>
              </w:rPr>
              <w:t>1、中医脉象诊断系统</w:t>
            </w:r>
          </w:p>
          <w:p>
            <w:pPr>
              <w:pStyle w:val="null3"/>
              <w:ind w:left="720"/>
            </w:pPr>
            <w:r>
              <w:rPr>
                <w:rFonts w:ascii="仿宋_GB2312" w:hAnsi="仿宋_GB2312" w:cs="仿宋_GB2312" w:eastAsia="仿宋_GB2312"/>
                <w:sz w:val="24"/>
              </w:rPr>
              <w:t>1.1通过袖带式传感器进行腕部固定以进行准确的脉象定位，通过传感器的双层袖带结构，进行方框定位校正</w:t>
            </w:r>
            <w:r>
              <w:rPr>
                <w:rFonts w:ascii="仿宋_GB2312" w:hAnsi="仿宋_GB2312" w:cs="仿宋_GB2312" w:eastAsia="仿宋_GB2312"/>
                <w:sz w:val="24"/>
              </w:rPr>
              <w:t>。</w:t>
            </w:r>
          </w:p>
          <w:p>
            <w:pPr>
              <w:pStyle w:val="null3"/>
              <w:ind w:left="720"/>
            </w:pPr>
            <w:r>
              <w:rPr>
                <w:rFonts w:ascii="仿宋_GB2312" w:hAnsi="仿宋_GB2312" w:cs="仿宋_GB2312" w:eastAsia="仿宋_GB2312"/>
                <w:sz w:val="24"/>
              </w:rPr>
              <w:t>1.2采用全自动气体加压方式。自动确定最佳取脉压力：按照阶梯加压方式，自动进行分段加压，并确定最佳取脉压力；脉象采集器具有过压保护功能。</w:t>
            </w:r>
          </w:p>
          <w:p>
            <w:pPr>
              <w:pStyle w:val="null3"/>
            </w:pPr>
            <w:r>
              <w:rPr>
                <w:rFonts w:ascii="仿宋_GB2312" w:hAnsi="仿宋_GB2312" w:cs="仿宋_GB2312" w:eastAsia="仿宋_GB2312"/>
                <w:sz w:val="24"/>
              </w:rPr>
              <w:t>1.3全自动气体加压传感器，自身重量≤50克</w:t>
            </w:r>
            <w:r>
              <w:rPr>
                <w:rFonts w:ascii="仿宋_GB2312" w:hAnsi="仿宋_GB2312" w:cs="仿宋_GB2312" w:eastAsia="仿宋_GB2312"/>
                <w:sz w:val="24"/>
              </w:rPr>
              <w:t>。</w:t>
            </w:r>
          </w:p>
          <w:p>
            <w:pPr>
              <w:pStyle w:val="null3"/>
            </w:pPr>
            <w:r>
              <w:rPr>
                <w:rFonts w:ascii="仿宋_GB2312" w:hAnsi="仿宋_GB2312" w:cs="仿宋_GB2312" w:eastAsia="仿宋_GB2312"/>
                <w:sz w:val="24"/>
              </w:rPr>
              <w:t>1.4脉搏传感器触力面为符合人体工程学并模仿中医指法的Φ8圆形触力面</w:t>
            </w:r>
            <w:r>
              <w:rPr>
                <w:rFonts w:ascii="仿宋_GB2312" w:hAnsi="仿宋_GB2312" w:cs="仿宋_GB2312" w:eastAsia="仿宋_GB2312"/>
                <w:sz w:val="24"/>
              </w:rPr>
              <w:t>。</w:t>
            </w:r>
          </w:p>
          <w:p>
            <w:pPr>
              <w:pStyle w:val="null3"/>
            </w:pPr>
            <w:r>
              <w:rPr>
                <w:rFonts w:ascii="仿宋_GB2312" w:hAnsi="仿宋_GB2312" w:cs="仿宋_GB2312" w:eastAsia="仿宋_GB2312"/>
                <w:sz w:val="24"/>
              </w:rPr>
              <w:t>1.5脉象传感器灵敏度为0.5mV/克力</w:t>
            </w:r>
            <w:r>
              <w:rPr>
                <w:rFonts w:ascii="仿宋_GB2312" w:hAnsi="仿宋_GB2312" w:cs="仿宋_GB2312" w:eastAsia="仿宋_GB2312"/>
                <w:sz w:val="24"/>
              </w:rPr>
              <w:t>。</w:t>
            </w:r>
          </w:p>
          <w:p>
            <w:pPr>
              <w:pStyle w:val="null3"/>
            </w:pPr>
            <w:r>
              <w:rPr>
                <w:rFonts w:ascii="仿宋_GB2312" w:hAnsi="仿宋_GB2312" w:cs="仿宋_GB2312" w:eastAsia="仿宋_GB2312"/>
                <w:sz w:val="24"/>
              </w:rPr>
              <w:t>1.6</w:t>
            </w:r>
            <w:r>
              <w:rPr>
                <w:rFonts w:ascii="仿宋_GB2312" w:hAnsi="仿宋_GB2312" w:cs="仿宋_GB2312" w:eastAsia="仿宋_GB2312"/>
                <w:sz w:val="24"/>
              </w:rPr>
              <w:t>采样精度：</w:t>
            </w:r>
            <w:r>
              <w:rPr>
                <w:rFonts w:ascii="仿宋_GB2312" w:hAnsi="仿宋_GB2312" w:cs="仿宋_GB2312" w:eastAsia="仿宋_GB2312"/>
                <w:sz w:val="24"/>
              </w:rPr>
              <w:t xml:space="preserve"> </w:t>
            </w:r>
            <w:r>
              <w:rPr>
                <w:rFonts w:ascii="仿宋_GB2312" w:hAnsi="仿宋_GB2312" w:cs="仿宋_GB2312" w:eastAsia="仿宋_GB2312"/>
                <w:sz w:val="24"/>
              </w:rPr>
              <w:t>24</w:t>
            </w:r>
            <w:r>
              <w:rPr>
                <w:rFonts w:ascii="仿宋_GB2312" w:hAnsi="仿宋_GB2312" w:cs="仿宋_GB2312" w:eastAsia="仿宋_GB2312"/>
                <w:sz w:val="24"/>
              </w:rPr>
              <w:t>位</w:t>
            </w:r>
            <w:r>
              <w:rPr>
                <w:rFonts w:ascii="仿宋_GB2312" w:hAnsi="仿宋_GB2312" w:cs="仿宋_GB2312" w:eastAsia="仿宋_GB2312"/>
                <w:sz w:val="24"/>
              </w:rPr>
              <w:t>BIT</w:t>
            </w:r>
            <w:r>
              <w:rPr>
                <w:rFonts w:ascii="仿宋_GB2312" w:hAnsi="仿宋_GB2312" w:cs="仿宋_GB2312" w:eastAsia="仿宋_GB2312"/>
                <w:sz w:val="24"/>
              </w:rPr>
              <w:t>。</w:t>
            </w:r>
          </w:p>
          <w:p>
            <w:pPr>
              <w:pStyle w:val="null3"/>
            </w:pPr>
            <w:r>
              <w:rPr>
                <w:rFonts w:ascii="仿宋_GB2312" w:hAnsi="仿宋_GB2312" w:cs="仿宋_GB2312" w:eastAsia="仿宋_GB2312"/>
                <w:sz w:val="24"/>
              </w:rPr>
              <w:t>1.7</w:t>
            </w:r>
            <w:r>
              <w:rPr>
                <w:rFonts w:ascii="仿宋_GB2312" w:hAnsi="仿宋_GB2312" w:cs="仿宋_GB2312" w:eastAsia="仿宋_GB2312"/>
                <w:sz w:val="24"/>
              </w:rPr>
              <w:t>采样时间</w:t>
            </w:r>
            <w:r>
              <w:rPr>
                <w:rFonts w:ascii="仿宋_GB2312" w:hAnsi="仿宋_GB2312" w:cs="仿宋_GB2312" w:eastAsia="仿宋_GB2312"/>
                <w:sz w:val="24"/>
              </w:rPr>
              <w:t>：</w:t>
            </w:r>
            <w:r>
              <w:rPr>
                <w:rFonts w:ascii="仿宋_GB2312" w:hAnsi="仿宋_GB2312" w:cs="仿宋_GB2312" w:eastAsia="仿宋_GB2312"/>
                <w:sz w:val="24"/>
              </w:rPr>
              <w:t>≥40秒</w:t>
            </w:r>
            <w:r>
              <w:rPr>
                <w:rFonts w:ascii="仿宋_GB2312" w:hAnsi="仿宋_GB2312" w:cs="仿宋_GB2312" w:eastAsia="仿宋_GB2312"/>
                <w:sz w:val="24"/>
              </w:rPr>
              <w:t>。</w:t>
            </w:r>
          </w:p>
          <w:p>
            <w:pPr>
              <w:pStyle w:val="null3"/>
              <w:ind w:left="720"/>
            </w:pPr>
            <w:r>
              <w:rPr>
                <w:rFonts w:ascii="仿宋_GB2312" w:hAnsi="仿宋_GB2312" w:cs="仿宋_GB2312" w:eastAsia="仿宋_GB2312"/>
                <w:sz w:val="24"/>
              </w:rPr>
              <w:t>1.8脉象浮中沉自动阶梯加压；浮中沉静态取脉压：50g、 75g、100g、125g、150g、175g、200g、225g，各档误差±10%</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1.9动态取脉压：在0-250g的静压范围内，对于脉宽为0.5s的标准动压测量，误差小于±10%</w:t>
            </w:r>
            <w:r>
              <w:rPr>
                <w:rFonts w:ascii="仿宋_GB2312" w:hAnsi="仿宋_GB2312" w:cs="仿宋_GB2312" w:eastAsia="仿宋_GB2312"/>
                <w:sz w:val="24"/>
              </w:rPr>
              <w:t>。</w:t>
            </w:r>
          </w:p>
          <w:p>
            <w:pPr>
              <w:pStyle w:val="null3"/>
            </w:pPr>
            <w:r>
              <w:rPr>
                <w:rFonts w:ascii="仿宋_GB2312" w:hAnsi="仿宋_GB2312" w:cs="仿宋_GB2312" w:eastAsia="仿宋_GB2312"/>
                <w:sz w:val="24"/>
              </w:rPr>
              <w:t>1.10加压测量：气泵加压，最大压力350mmHg</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1.11气路测量：将300 mmHg的压力冲入气路，在1min内气路压力不得低于5%</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1.12提供中医脉象图及相关测量参数，给出脉名判读结果。</w:t>
            </w:r>
          </w:p>
          <w:p>
            <w:pPr>
              <w:pStyle w:val="null3"/>
              <w:ind w:left="600"/>
            </w:pPr>
            <w:r>
              <w:rPr>
                <w:rFonts w:ascii="仿宋_GB2312" w:hAnsi="仿宋_GB2312" w:cs="仿宋_GB2312" w:eastAsia="仿宋_GB2312"/>
                <w:sz w:val="24"/>
                <w:b/>
              </w:rPr>
              <w:t>2、中医舌面象诊断系统</w:t>
            </w:r>
          </w:p>
          <w:p>
            <w:pPr>
              <w:pStyle w:val="null3"/>
              <w:ind w:left="600"/>
            </w:pPr>
            <w:r>
              <w:rPr>
                <w:rFonts w:ascii="仿宋_GB2312" w:hAnsi="仿宋_GB2312" w:cs="仿宋_GB2312" w:eastAsia="仿宋_GB2312"/>
                <w:sz w:val="24"/>
                <w:b/>
              </w:rPr>
              <w:t>2.1运用计算机标准化技术采集分析舌面象信息，具备采集和分析功能。</w:t>
            </w:r>
          </w:p>
          <w:p>
            <w:pPr>
              <w:pStyle w:val="null3"/>
            </w:pPr>
            <w:r>
              <w:rPr>
                <w:rFonts w:ascii="仿宋_GB2312" w:hAnsi="仿宋_GB2312" w:cs="仿宋_GB2312" w:eastAsia="仿宋_GB2312"/>
                <w:sz w:val="24"/>
              </w:rPr>
              <w:t>对舌：舌色</w:t>
            </w:r>
            <w:r>
              <w:rPr>
                <w:rFonts w:ascii="仿宋_GB2312" w:hAnsi="仿宋_GB2312" w:cs="仿宋_GB2312" w:eastAsia="仿宋_GB2312"/>
                <w:sz w:val="24"/>
              </w:rPr>
              <w:t>16种、舌络3种、舌形9种 、舌态6种、苔色7种、苔质15种</w:t>
            </w:r>
            <w:r>
              <w:rPr>
                <w:rFonts w:ascii="仿宋_GB2312" w:hAnsi="仿宋_GB2312" w:cs="仿宋_GB2312" w:eastAsia="仿宋_GB2312"/>
                <w:sz w:val="24"/>
              </w:rPr>
              <w:t>。</w:t>
            </w:r>
          </w:p>
          <w:p>
            <w:pPr>
              <w:pStyle w:val="null3"/>
            </w:pPr>
            <w:r>
              <w:rPr>
                <w:rFonts w:ascii="仿宋_GB2312" w:hAnsi="仿宋_GB2312" w:cs="仿宋_GB2312" w:eastAsia="仿宋_GB2312"/>
                <w:sz w:val="24"/>
              </w:rPr>
              <w:t>对面：唇色</w:t>
            </w:r>
            <w:r>
              <w:rPr>
                <w:rFonts w:ascii="仿宋_GB2312" w:hAnsi="仿宋_GB2312" w:cs="仿宋_GB2312" w:eastAsia="仿宋_GB2312"/>
                <w:sz w:val="24"/>
              </w:rPr>
              <w:t>8种，面色19种，面部光泽3种，局部特征3种。</w:t>
            </w:r>
          </w:p>
          <w:p>
            <w:pPr>
              <w:pStyle w:val="null3"/>
              <w:ind w:left="600"/>
            </w:pPr>
            <w:r>
              <w:rPr>
                <w:rFonts w:ascii="仿宋_GB2312" w:hAnsi="仿宋_GB2312" w:cs="仿宋_GB2312" w:eastAsia="仿宋_GB2312"/>
                <w:sz w:val="24"/>
              </w:rPr>
              <w:t>2.2计算机自动化操作</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2.3舌面象自动拍照功能</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2.4光照环境</w:t>
            </w:r>
            <w:r>
              <w:rPr>
                <w:rFonts w:ascii="仿宋_GB2312" w:hAnsi="仿宋_GB2312" w:cs="仿宋_GB2312" w:eastAsia="仿宋_GB2312"/>
                <w:sz w:val="24"/>
              </w:rPr>
              <w:t>。</w:t>
            </w:r>
          </w:p>
          <w:p>
            <w:pPr>
              <w:pStyle w:val="null3"/>
              <w:ind w:left="840"/>
            </w:pPr>
            <w:r>
              <w:rPr>
                <w:rFonts w:ascii="仿宋_GB2312" w:hAnsi="仿宋_GB2312" w:cs="仿宋_GB2312" w:eastAsia="仿宋_GB2312"/>
                <w:sz w:val="24"/>
              </w:rPr>
              <w:t>2.4</w:t>
            </w:r>
            <w:r>
              <w:rPr>
                <w:rFonts w:ascii="仿宋_GB2312" w:hAnsi="仿宋_GB2312" w:cs="仿宋_GB2312" w:eastAsia="仿宋_GB2312"/>
                <w:sz w:val="24"/>
              </w:rPr>
              <w:t>.1</w:t>
            </w:r>
            <w:r>
              <w:rPr>
                <w:rFonts w:ascii="仿宋_GB2312" w:hAnsi="仿宋_GB2312" w:cs="仿宋_GB2312" w:eastAsia="仿宋_GB2312"/>
                <w:sz w:val="24"/>
              </w:rPr>
              <w:t>采用专业拍摄光源，高频无闪烁，光源特性接近自然光源；照射均匀无暗区，</w:t>
            </w:r>
          </w:p>
          <w:p>
            <w:pPr>
              <w:pStyle w:val="null3"/>
            </w:pPr>
            <w:r>
              <w:rPr>
                <w:rFonts w:ascii="仿宋_GB2312" w:hAnsi="仿宋_GB2312" w:cs="仿宋_GB2312" w:eastAsia="仿宋_GB2312"/>
                <w:sz w:val="24"/>
              </w:rPr>
              <w:t>无反光，无阴影；暗箱采集环境，并有专用净化、通风装置</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2.4</w:t>
            </w:r>
            <w:r>
              <w:rPr>
                <w:rFonts w:ascii="仿宋_GB2312" w:hAnsi="仿宋_GB2312" w:cs="仿宋_GB2312" w:eastAsia="仿宋_GB2312"/>
                <w:sz w:val="24"/>
              </w:rPr>
              <w:t>.2</w:t>
            </w:r>
            <w:r>
              <w:rPr>
                <w:rFonts w:ascii="仿宋_GB2312" w:hAnsi="仿宋_GB2312" w:cs="仿宋_GB2312" w:eastAsia="仿宋_GB2312"/>
                <w:sz w:val="24"/>
              </w:rPr>
              <w:t>显色指数</w:t>
            </w:r>
            <w:r>
              <w:rPr>
                <w:rFonts w:ascii="仿宋_GB2312" w:hAnsi="仿宋_GB2312" w:cs="仿宋_GB2312" w:eastAsia="仿宋_GB2312"/>
                <w:sz w:val="24"/>
              </w:rPr>
              <w:t>Ra</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w:t>
            </w:r>
          </w:p>
          <w:p>
            <w:pPr>
              <w:pStyle w:val="null3"/>
            </w:pPr>
            <w:r>
              <w:rPr>
                <w:rFonts w:ascii="仿宋_GB2312" w:hAnsi="仿宋_GB2312" w:cs="仿宋_GB2312" w:eastAsia="仿宋_GB2312"/>
                <w:sz w:val="24"/>
              </w:rPr>
              <w:t>2.4</w:t>
            </w:r>
            <w:r>
              <w:rPr>
                <w:rFonts w:ascii="仿宋_GB2312" w:hAnsi="仿宋_GB2312" w:cs="仿宋_GB2312" w:eastAsia="仿宋_GB2312"/>
                <w:sz w:val="24"/>
              </w:rPr>
              <w:t>.3</w:t>
            </w:r>
            <w:r>
              <w:rPr>
                <w:rFonts w:ascii="仿宋_GB2312" w:hAnsi="仿宋_GB2312" w:cs="仿宋_GB2312" w:eastAsia="仿宋_GB2312"/>
                <w:sz w:val="24"/>
              </w:rPr>
              <w:t>色温在</w:t>
            </w:r>
            <w:r>
              <w:rPr>
                <w:rFonts w:ascii="仿宋_GB2312" w:hAnsi="仿宋_GB2312" w:cs="仿宋_GB2312" w:eastAsia="仿宋_GB2312"/>
                <w:sz w:val="24"/>
              </w:rPr>
              <w:t>500</w:t>
            </w:r>
            <w:r>
              <w:rPr>
                <w:rFonts w:ascii="仿宋_GB2312" w:hAnsi="仿宋_GB2312" w:cs="仿宋_GB2312" w:eastAsia="仿宋_GB2312"/>
                <w:sz w:val="24"/>
              </w:rPr>
              <w:t>0</w:t>
            </w:r>
            <w:r>
              <w:rPr>
                <w:rFonts w:ascii="仿宋_GB2312" w:hAnsi="仿宋_GB2312" w:cs="仿宋_GB2312" w:eastAsia="仿宋_GB2312"/>
                <w:sz w:val="24"/>
              </w:rPr>
              <w:t>K</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00K</w:t>
            </w:r>
            <w:r>
              <w:rPr>
                <w:rFonts w:ascii="仿宋_GB2312" w:hAnsi="仿宋_GB2312" w:cs="仿宋_GB2312" w:eastAsia="仿宋_GB2312"/>
                <w:sz w:val="24"/>
              </w:rPr>
              <w:t>之间</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2.4</w:t>
            </w:r>
            <w:r>
              <w:rPr>
                <w:rFonts w:ascii="仿宋_GB2312" w:hAnsi="仿宋_GB2312" w:cs="仿宋_GB2312" w:eastAsia="仿宋_GB2312"/>
                <w:sz w:val="24"/>
              </w:rPr>
              <w:t>.4</w:t>
            </w:r>
            <w:r>
              <w:rPr>
                <w:rFonts w:ascii="仿宋_GB2312" w:hAnsi="仿宋_GB2312" w:cs="仿宋_GB2312" w:eastAsia="仿宋_GB2312"/>
                <w:sz w:val="24"/>
              </w:rPr>
              <w:t>照度与照度的均匀性：多点检测舌、面单元患者应用部分的照度值（</w:t>
            </w:r>
            <w:r>
              <w:rPr>
                <w:rFonts w:ascii="仿宋_GB2312" w:hAnsi="仿宋_GB2312" w:cs="仿宋_GB2312" w:eastAsia="仿宋_GB2312"/>
                <w:sz w:val="24"/>
              </w:rPr>
              <w:t>Ec</w:t>
            </w:r>
            <w:r>
              <w:rPr>
                <w:rFonts w:ascii="仿宋_GB2312" w:hAnsi="仿宋_GB2312" w:cs="仿宋_GB2312" w:eastAsia="仿宋_GB2312"/>
                <w:sz w:val="24"/>
              </w:rPr>
              <w:t>）均为在拍摄窗口，照度大于</w:t>
            </w:r>
            <w:r>
              <w:rPr>
                <w:rFonts w:ascii="仿宋_GB2312" w:hAnsi="仿宋_GB2312" w:cs="仿宋_GB2312" w:eastAsia="仿宋_GB2312"/>
                <w:sz w:val="24"/>
              </w:rPr>
              <w:t>2500lux。</w:t>
            </w:r>
          </w:p>
          <w:p>
            <w:pPr>
              <w:pStyle w:val="null3"/>
              <w:ind w:left="600"/>
            </w:pPr>
            <w:r>
              <w:rPr>
                <w:rFonts w:ascii="仿宋_GB2312" w:hAnsi="仿宋_GB2312" w:cs="仿宋_GB2312" w:eastAsia="仿宋_GB2312"/>
                <w:sz w:val="24"/>
              </w:rPr>
              <w:t>2.5相机性能</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2.5</w:t>
            </w:r>
            <w:r>
              <w:rPr>
                <w:rFonts w:ascii="仿宋_GB2312" w:hAnsi="仿宋_GB2312" w:cs="仿宋_GB2312" w:eastAsia="仿宋_GB2312"/>
                <w:sz w:val="24"/>
              </w:rPr>
              <w:t>.1</w:t>
            </w:r>
            <w:r>
              <w:rPr>
                <w:rFonts w:ascii="仿宋_GB2312" w:hAnsi="仿宋_GB2312" w:cs="仿宋_GB2312" w:eastAsia="仿宋_GB2312"/>
                <w:sz w:val="24"/>
              </w:rPr>
              <w:t>可以通过计算机程序远程控制相机拍摄</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2.5.</w:t>
            </w:r>
            <w:r>
              <w:rPr>
                <w:rFonts w:ascii="仿宋_GB2312" w:hAnsi="仿宋_GB2312" w:cs="仿宋_GB2312" w:eastAsia="仿宋_GB2312"/>
                <w:sz w:val="24"/>
              </w:rPr>
              <w:t xml:space="preserve">2 </w:t>
            </w:r>
            <w:r>
              <w:rPr>
                <w:rFonts w:ascii="仿宋_GB2312" w:hAnsi="仿宋_GB2312" w:cs="仿宋_GB2312" w:eastAsia="仿宋_GB2312"/>
                <w:sz w:val="24"/>
              </w:rPr>
              <w:t>采用专业单反相机，具备微距拍摄功能，像素大于</w:t>
            </w:r>
            <w:r>
              <w:rPr>
                <w:rFonts w:ascii="仿宋_GB2312" w:hAnsi="仿宋_GB2312" w:cs="仿宋_GB2312" w:eastAsia="仿宋_GB2312"/>
                <w:sz w:val="24"/>
              </w:rPr>
              <w:t>1</w:t>
            </w:r>
            <w:r>
              <w:rPr>
                <w:rFonts w:ascii="仿宋_GB2312" w:hAnsi="仿宋_GB2312" w:cs="仿宋_GB2312" w:eastAsia="仿宋_GB2312"/>
                <w:sz w:val="24"/>
              </w:rPr>
              <w:t>80</w:t>
            </w:r>
            <w:r>
              <w:rPr>
                <w:rFonts w:ascii="仿宋_GB2312" w:hAnsi="仿宋_GB2312" w:cs="仿宋_GB2312" w:eastAsia="仿宋_GB2312"/>
                <w:sz w:val="24"/>
              </w:rPr>
              <w:t>0</w:t>
            </w:r>
            <w:r>
              <w:rPr>
                <w:rFonts w:ascii="仿宋_GB2312" w:hAnsi="仿宋_GB2312" w:cs="仿宋_GB2312" w:eastAsia="仿宋_GB2312"/>
                <w:sz w:val="24"/>
              </w:rPr>
              <w:t>万。</w:t>
            </w:r>
          </w:p>
          <w:p>
            <w:pPr>
              <w:pStyle w:val="null3"/>
              <w:ind w:left="600"/>
            </w:pPr>
            <w:r>
              <w:rPr>
                <w:rFonts w:ascii="仿宋_GB2312" w:hAnsi="仿宋_GB2312" w:cs="仿宋_GB2312" w:eastAsia="仿宋_GB2312"/>
                <w:sz w:val="24"/>
                <w:b/>
              </w:rPr>
              <w:t>3、中医体质辨识系统</w:t>
            </w:r>
          </w:p>
          <w:p>
            <w:pPr>
              <w:pStyle w:val="null3"/>
              <w:ind w:left="600"/>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得出检测者的体质类型，体质特征，发病倾向，环境适应力等。</w:t>
            </w:r>
          </w:p>
          <w:p>
            <w:pPr>
              <w:pStyle w:val="null3"/>
              <w:ind w:left="600"/>
            </w:pPr>
            <w:r>
              <w:rPr>
                <w:rFonts w:ascii="仿宋_GB2312" w:hAnsi="仿宋_GB2312" w:cs="仿宋_GB2312" w:eastAsia="仿宋_GB2312"/>
                <w:sz w:val="24"/>
                <w:b/>
              </w:rPr>
              <w:t>4、个性化养生调理系统</w:t>
            </w:r>
          </w:p>
          <w:p>
            <w:pPr>
              <w:pStyle w:val="null3"/>
              <w:ind w:left="600"/>
            </w:pPr>
            <w:r>
              <w:rPr>
                <w:rFonts w:ascii="仿宋_GB2312" w:hAnsi="仿宋_GB2312" w:cs="仿宋_GB2312" w:eastAsia="仿宋_GB2312"/>
                <w:sz w:val="24"/>
              </w:rPr>
              <w:t>4.1可提供体质成因解读，以及易发疾病的风险预警提示</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4.2所提供的个性化养生调理方案，包含饮食调理、药物调理，运动调理，食疗食</w:t>
            </w:r>
          </w:p>
          <w:p>
            <w:pPr>
              <w:pStyle w:val="null3"/>
              <w:ind w:left="600"/>
            </w:pPr>
            <w:r>
              <w:rPr>
                <w:rFonts w:ascii="仿宋_GB2312" w:hAnsi="仿宋_GB2312" w:cs="仿宋_GB2312" w:eastAsia="仿宋_GB2312"/>
                <w:sz w:val="24"/>
              </w:rPr>
              <w:t>谱等内容，为被测试者提供个性化的健康养生指导建议</w:t>
            </w:r>
            <w:r>
              <w:rPr>
                <w:rFonts w:ascii="仿宋_GB2312" w:hAnsi="仿宋_GB2312" w:cs="仿宋_GB2312" w:eastAsia="仿宋_GB2312"/>
                <w:sz w:val="24"/>
              </w:rPr>
              <w:t>。</w:t>
            </w:r>
          </w:p>
          <w:p>
            <w:pPr>
              <w:pStyle w:val="null3"/>
              <w:ind w:left="600"/>
            </w:pPr>
            <w:r>
              <w:rPr>
                <w:rFonts w:ascii="仿宋_GB2312" w:hAnsi="仿宋_GB2312" w:cs="仿宋_GB2312" w:eastAsia="仿宋_GB2312"/>
                <w:sz w:val="24"/>
              </w:rPr>
              <w:t>4.3可建立电子健康档案，进行长期中医健康管理服务。</w:t>
            </w:r>
          </w:p>
          <w:p>
            <w:pPr>
              <w:pStyle w:val="null3"/>
              <w:ind w:left="600"/>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经典处方系统：</w:t>
            </w:r>
          </w:p>
          <w:p>
            <w:pPr>
              <w:pStyle w:val="null3"/>
              <w:ind w:left="600"/>
            </w:pPr>
            <w:r>
              <w:rPr>
                <w:rFonts w:ascii="仿宋_GB2312" w:hAnsi="仿宋_GB2312" w:cs="仿宋_GB2312" w:eastAsia="仿宋_GB2312"/>
              </w:rPr>
              <w:t xml:space="preserve">    </w:t>
            </w:r>
            <w:r>
              <w:rPr>
                <w:rFonts w:ascii="仿宋_GB2312" w:hAnsi="仿宋_GB2312" w:cs="仿宋_GB2312" w:eastAsia="仿宋_GB2312"/>
                <w:sz w:val="24"/>
              </w:rPr>
              <w:t>可依据四诊信息，得出病人的病名，证候名，由专家数据库开出相应的治疗方</w:t>
            </w:r>
          </w:p>
          <w:p>
            <w:pPr>
              <w:pStyle w:val="null3"/>
              <w:ind w:left="600"/>
            </w:pPr>
            <w:r>
              <w:rPr>
                <w:rFonts w:ascii="仿宋_GB2312" w:hAnsi="仿宋_GB2312" w:cs="仿宋_GB2312" w:eastAsia="仿宋_GB2312"/>
                <w:sz w:val="24"/>
              </w:rPr>
              <w:t>剂，包括中医药方，按摩，针灸穴位的选取，中成药等。</w:t>
            </w:r>
          </w:p>
          <w:p>
            <w:pPr>
              <w:pStyle w:val="null3"/>
              <w:ind w:left="600"/>
            </w:pPr>
            <w:r>
              <w:rPr>
                <w:rFonts w:ascii="仿宋_GB2312" w:hAnsi="仿宋_GB2312" w:cs="仿宋_GB2312" w:eastAsia="仿宋_GB2312"/>
                <w:sz w:val="24"/>
              </w:rPr>
              <w:t xml:space="preserve"> 应用软件、数据库：应用软件终身免费升级，数据</w:t>
            </w:r>
            <w:r>
              <w:rPr>
                <w:rFonts w:ascii="仿宋_GB2312" w:hAnsi="仿宋_GB2312" w:cs="仿宋_GB2312" w:eastAsia="仿宋_GB2312"/>
                <w:sz w:val="24"/>
              </w:rPr>
              <w:t>库</w:t>
            </w:r>
            <w:r>
              <w:rPr>
                <w:rFonts w:ascii="仿宋_GB2312" w:hAnsi="仿宋_GB2312" w:cs="仿宋_GB2312" w:eastAsia="仿宋_GB2312"/>
                <w:sz w:val="24"/>
              </w:rPr>
              <w:t>终身免费实时更新</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left="600"/>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终验合格之日起 12 个月，保修范围详见合同文本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采购标的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主体资格证明: （1）企业投标的:营业执照2)事业单位投标的:事业单位法人证书，3)其他组织投标的:登记证书，4)个体工商户投标的:个体工商户营业执照，5)自然人投标的:身份证; （2）税收缴纳证明:提供投标人自投标前1年以来已缴纳任意时段完税凭证或税务机关开具的完税证明(任意税种);依法免税的应提供相关文件证明: （3）社会保障资金缴纳证明:提供投标人自投标前1年以来已缴存的任意时段的社会保障资金缴存单据或社保机构开具的社会保险参保缴费情况证明:依法不需要缴纳社会保障资金的供应商应提供相关文件证明; （4）提供投标人具备履行合同所必需的设备和专业技术能力的证明材料; （5）投标人参加本次采购活动3年内，在经营活动中没有重大违法记录以及未被列入失信被执行人、重大税收违法案件当事人名单、政府采购严重违法失信行为记录名单的书面声明: （6）法定代表人(单位负责人)参加投标的，提供本人身份证;法定代表人(单位负责人)授权他人参加投标的，提供法定代表人委托授权书并出示被授权代表的身份证。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承诺书 标的清单 11技术文件.docx 投标文件封面 06供应商资格证明文件.docx 投标报价一览表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2023或2024年度经审计的财务会计报告（包括“四表一注”即《资产负债表》《利润表》《现金流量表》《所有者权益变动表》及其附注）或者提供投标文件截止时间6个月内其基本账户开户银行出具的资信证明；投标人成立不到1年的，可提供企业任意时段财务报表；投标人为公益类事业单位或者自然人的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06供应商资格证明文件.docx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制造商直接来投标的，需提供制造商的《医疗器械生产许可证》及投标产品《医疗器械注册证》复印件；代理商来投标的，需提供代理商的《医疗器械经营备案凭证或备案编号》或《医疗器械经营许可证》和投标产品的制造商的《医疗器械注册证》复印件</w:t>
            </w:r>
          </w:p>
        </w:tc>
        <w:tc>
          <w:tcPr>
            <w:tcW w:type="dxa" w:w="1661"/>
          </w:tcPr>
          <w:p>
            <w:pPr>
              <w:pStyle w:val="null3"/>
            </w:pPr>
            <w:r>
              <w:rPr>
                <w:rFonts w:ascii="仿宋_GB2312" w:hAnsi="仿宋_GB2312" w:cs="仿宋_GB2312" w:eastAsia="仿宋_GB2312"/>
              </w:rPr>
              <w:t>投标文件封面 06供应商资格证明文件.docx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05分项报价表.docx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承诺书 标的清单 11技术文件.docx 投标文件封面 06供应商资格证明文件.docx 投标报价一览表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　</w:t>
            </w:r>
          </w:p>
        </w:tc>
        <w:tc>
          <w:tcPr>
            <w:tcW w:type="dxa" w:w="3322"/>
          </w:tcPr>
          <w:p>
            <w:pPr>
              <w:pStyle w:val="null3"/>
            </w:pPr>
            <w:r>
              <w:rPr>
                <w:rFonts w:ascii="仿宋_GB2312" w:hAnsi="仿宋_GB2312" w:cs="仿宋_GB2312" w:eastAsia="仿宋_GB2312"/>
              </w:rPr>
              <w:t>只能有一个有效报价，不得提交选择性报价，且报价不超过前附表规定的采购预算金额或最高限价</w:t>
            </w:r>
          </w:p>
        </w:tc>
        <w:tc>
          <w:tcPr>
            <w:tcW w:type="dxa" w:w="1661"/>
          </w:tcPr>
          <w:p>
            <w:pPr>
              <w:pStyle w:val="null3"/>
            </w:pPr>
            <w:r>
              <w:rPr>
                <w:rFonts w:ascii="仿宋_GB2312" w:hAnsi="仿宋_GB2312" w:cs="仿宋_GB2312" w:eastAsia="仿宋_GB2312"/>
              </w:rPr>
              <w:t>开标一览表 中小企业声明函 商务应答表 承诺书 11技术文件.docx 06供应商资格证明文件.docx 投标报价一览表 05分项报价表.docx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合同签订后20个日历日</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承诺书 标的清单 11技术文件.docx 06供应商资格证明文件.docx 投标文件封面 投标报价一览表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终验合格之日起 12 个月</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承诺书 标的清单 11技术文件.docx 06供应商资格证明文件.docx 投标文件封面 投标报价一览表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提供所投设备的技术指标进行评审，评审依据为技术参数的相应的证明材料（包括但不限于产品彩页、测试报告、官网和功能截图等技术支持性文件（资料））和技术偏离表。基本分（24分）：技术参与完全符合或优于招标文件的计24分；技术指标每负偏离一项扣0.5分，扣完为止。 备注：投标人投标文件中需提供所投产品参数的产品彩页、检测报告、官网和功能截图、等技术支持性文件（资料）或其他相关证明材料，并在技术偏离表进行响应，否则评标过程中的量化不利风险由投标人自行承担。</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11技术文件.docx</w:t>
            </w:r>
          </w:p>
          <w:p>
            <w:pPr>
              <w:pStyle w:val="null3"/>
            </w:pPr>
            <w:r>
              <w:rPr>
                <w:rFonts w:ascii="仿宋_GB2312" w:hAnsi="仿宋_GB2312" w:cs="仿宋_GB2312" w:eastAsia="仿宋_GB2312"/>
              </w:rPr>
              <w:t>承诺书</w:t>
            </w:r>
          </w:p>
          <w:p>
            <w:pPr>
              <w:pStyle w:val="null3"/>
            </w:pPr>
            <w:r>
              <w:rPr>
                <w:rFonts w:ascii="仿宋_GB2312" w:hAnsi="仿宋_GB2312" w:cs="仿宋_GB2312" w:eastAsia="仿宋_GB2312"/>
              </w:rPr>
              <w:t>06供应商资格证明文件.docx</w:t>
            </w:r>
          </w:p>
          <w:p>
            <w:pPr>
              <w:pStyle w:val="null3"/>
            </w:pPr>
            <w:r>
              <w:rPr>
                <w:rFonts w:ascii="仿宋_GB2312" w:hAnsi="仿宋_GB2312" w:cs="仿宋_GB2312" w:eastAsia="仿宋_GB2312"/>
              </w:rPr>
              <w:t>05分项报价表.docx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产品的来源渠道</w:t>
            </w:r>
          </w:p>
        </w:tc>
        <w:tc>
          <w:tcPr>
            <w:tcW w:type="dxa" w:w="2492"/>
          </w:tcPr>
          <w:p>
            <w:pPr>
              <w:pStyle w:val="null3"/>
            </w:pPr>
            <w:r>
              <w:rPr>
                <w:rFonts w:ascii="仿宋_GB2312" w:hAnsi="仿宋_GB2312" w:cs="仿宋_GB2312" w:eastAsia="仿宋_GB2312"/>
              </w:rPr>
              <w:t>投标人应提供所投产品来源渠道的合法证明文件，包括但不限于：①代理协议②原厂授权③生产厂家出具的相应功能证明材料或第三方检测机构出具的检测/检验报告等。) 根据佐证材料的可行性及有效程度赋分， 提供证明材料详细具体，科学合理、安全可行。 完全满足要求的得3分， 如存在不合理项，每处扣0.5分;无法证明其来源渠道的，得0分未提供不得分。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11技术文件.docx</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06供应商资格证明文件.docx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承诺书</w:t>
            </w:r>
          </w:p>
          <w:p>
            <w:pPr>
              <w:pStyle w:val="null3"/>
            </w:pPr>
            <w:r>
              <w:rPr>
                <w:rFonts w:ascii="仿宋_GB2312" w:hAnsi="仿宋_GB2312" w:cs="仿宋_GB2312" w:eastAsia="仿宋_GB2312"/>
              </w:rPr>
              <w:t>05分项报价表.docx</w:t>
            </w:r>
          </w:p>
        </w:tc>
      </w:tr>
      <w:tr>
        <w:tc>
          <w:tcPr>
            <w:tcW w:type="dxa" w:w="831"/>
            <w:vMerge/>
          </w:tcPr>
          <w:p/>
        </w:tc>
        <w:tc>
          <w:tcPr>
            <w:tcW w:type="dxa" w:w="1661"/>
          </w:tcPr>
          <w:p>
            <w:pPr>
              <w:pStyle w:val="null3"/>
            </w:pPr>
            <w:r>
              <w:rPr>
                <w:rFonts w:ascii="仿宋_GB2312" w:hAnsi="仿宋_GB2312" w:cs="仿宋_GB2312" w:eastAsia="仿宋_GB2312"/>
              </w:rPr>
              <w:t>配送方案及配送服务保障措施</w:t>
            </w:r>
          </w:p>
        </w:tc>
        <w:tc>
          <w:tcPr>
            <w:tcW w:type="dxa" w:w="2492"/>
          </w:tcPr>
          <w:p>
            <w:pPr>
              <w:pStyle w:val="null3"/>
            </w:pPr>
            <w:r>
              <w:rPr>
                <w:rFonts w:ascii="仿宋_GB2312" w:hAnsi="仿宋_GB2312" w:cs="仿宋_GB2312" w:eastAsia="仿宋_GB2312"/>
              </w:rPr>
              <w:t>投标人提供针对①配送产品质量的保证措施、②配送服务质量的保证措施,③配送方案及保障措施。 评审标准： （1）完整性：内容全面，对各方面实施工作部署安排周密，有详细的描述和说明。 （2）合理性：项目切合实际，思路清晰，科学合理。 （3）针对性：方案编制紧扣项目特点和采购需求，针对性强。 赋分标准： ①配送产品质量的保证措施：内容完整、合理可行，每完全满足1项评审标准且符合项目实际情况的计1分；针对每条评审标准，如存在不合理的方面，扣0.5分;针对每条评审标准，方案内容与本项目无关或未提供的，得0分 ②配送服务质量的保证措施： 内容完整、合理可行，每完全满足一条评审标准且符合项目实际情况的计1分；针对每条评审标准，如存在不合理的方面，扣0.5分;针对每条评审标准，方案内容与本项目无关或未提供的，得0分 ③配送方案及各项保障措施： 内容完整、合理可行，每完全满足1项评审标准且符合项目实际情况的计1分；针对每条评审标准，如存在不合理的方面，扣0.5分;针对每条评审标准，方案内容与本项目无关或未提供的，得0分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承诺书</w:t>
            </w:r>
          </w:p>
          <w:p>
            <w:pPr>
              <w:pStyle w:val="null3"/>
            </w:pPr>
            <w:r>
              <w:rPr>
                <w:rFonts w:ascii="仿宋_GB2312" w:hAnsi="仿宋_GB2312" w:cs="仿宋_GB2312" w:eastAsia="仿宋_GB2312"/>
              </w:rPr>
              <w:t>06供应商资格证明文件.docx</w:t>
            </w:r>
          </w:p>
          <w:p>
            <w:pPr>
              <w:pStyle w:val="null3"/>
            </w:pPr>
            <w:r>
              <w:rPr>
                <w:rFonts w:ascii="仿宋_GB2312" w:hAnsi="仿宋_GB2312" w:cs="仿宋_GB2312" w:eastAsia="仿宋_GB2312"/>
              </w:rPr>
              <w:t>05分项报价表.docx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11技术文件.docx</w:t>
            </w:r>
          </w:p>
        </w:tc>
      </w:tr>
      <w:tr>
        <w:tc>
          <w:tcPr>
            <w:tcW w:type="dxa" w:w="831"/>
            <w:vMerge/>
          </w:tcPr>
          <w:p/>
        </w:tc>
        <w:tc>
          <w:tcPr>
            <w:tcW w:type="dxa" w:w="1661"/>
          </w:tcPr>
          <w:p>
            <w:pPr>
              <w:pStyle w:val="null3"/>
            </w:pPr>
            <w:r>
              <w:rPr>
                <w:rFonts w:ascii="仿宋_GB2312" w:hAnsi="仿宋_GB2312" w:cs="仿宋_GB2312" w:eastAsia="仿宋_GB2312"/>
              </w:rPr>
              <w:t>投标人有完善的管理体系，针对本项目的实施组织机构、人员安排有具体方案，分工合理、责任明确， 能确保项目顺利实施</w:t>
            </w:r>
          </w:p>
        </w:tc>
        <w:tc>
          <w:tcPr>
            <w:tcW w:type="dxa" w:w="2492"/>
          </w:tcPr>
          <w:p>
            <w:pPr>
              <w:pStyle w:val="null3"/>
            </w:pPr>
            <w:r>
              <w:rPr>
                <w:rFonts w:ascii="仿宋_GB2312" w:hAnsi="仿宋_GB2312" w:cs="仿宋_GB2312" w:eastAsia="仿宋_GB2312"/>
              </w:rPr>
              <w:t>投标人有完善的①管理体系②针对本项目的实施组织机构、人员安排有具体方案，分工合理、责任明确，能确保项目顺利实施。 评审标准： （1）完整性：内容全面，对各方面实施工作部署安排周密，有详细的描述和说明。 （2）合理性：方案切合实际，思路清晰，科学合理。 （3）针对性：方案编制紧扣项目特点和采购需求，针对性强。 赋分标准： ①管理体系规范严谨，能够充分保障项目需求，每完全满足一条评审标准且符合项目实际情况的计1分；针对每条评审标准，如存在不合理的方面，扣0.5分;针对每条评审标准，方案内容与本项目无关或未提供的，得0分 ②针对本项目的实施组织机构、人员安排有具体方案，分工合理、责任明确，能确保项目顺利实施。 每完全满足一条评审标准且符合项目实际情况的计1分；针对每条评审标准，如存在不合理的方面，扣0.5分;针对每条评审标准，方案内容与本项目无关或未提供的，得0分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05分项报价表.docx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11技术文件.docx</w:t>
            </w:r>
          </w:p>
          <w:p>
            <w:pPr>
              <w:pStyle w:val="null3"/>
            </w:pPr>
            <w:r>
              <w:rPr>
                <w:rFonts w:ascii="仿宋_GB2312" w:hAnsi="仿宋_GB2312" w:cs="仿宋_GB2312" w:eastAsia="仿宋_GB2312"/>
              </w:rPr>
              <w:t>承诺书</w:t>
            </w:r>
          </w:p>
          <w:p>
            <w:pPr>
              <w:pStyle w:val="null3"/>
            </w:pPr>
            <w:r>
              <w:rPr>
                <w:rFonts w:ascii="仿宋_GB2312" w:hAnsi="仿宋_GB2312" w:cs="仿宋_GB2312" w:eastAsia="仿宋_GB2312"/>
              </w:rPr>
              <w:t>06供应商资格证明文件.docx</w:t>
            </w:r>
          </w:p>
        </w:tc>
      </w:tr>
      <w:tr>
        <w:tc>
          <w:tcPr>
            <w:tcW w:type="dxa" w:w="831"/>
            <w:vMerge/>
          </w:tcPr>
          <w:p/>
        </w:tc>
        <w:tc>
          <w:tcPr>
            <w:tcW w:type="dxa" w:w="1661"/>
          </w:tcPr>
          <w:p>
            <w:pPr>
              <w:pStyle w:val="null3"/>
            </w:pPr>
            <w:r>
              <w:rPr>
                <w:rFonts w:ascii="仿宋_GB2312" w:hAnsi="仿宋_GB2312" w:cs="仿宋_GB2312" w:eastAsia="仿宋_GB2312"/>
              </w:rPr>
              <w:t>根据投标人提供的交 货方案、安装、调试方案及产品的运送进度安排、培训计划措施</w:t>
            </w:r>
          </w:p>
        </w:tc>
        <w:tc>
          <w:tcPr>
            <w:tcW w:type="dxa" w:w="2492"/>
          </w:tcPr>
          <w:p>
            <w:pPr>
              <w:pStyle w:val="null3"/>
            </w:pPr>
            <w:r>
              <w:rPr>
                <w:rFonts w:ascii="仿宋_GB2312" w:hAnsi="仿宋_GB2312" w:cs="仿宋_GB2312" w:eastAsia="仿宋_GB2312"/>
              </w:rPr>
              <w:t>投标人提供①交货、安装、调试方案及产品的运送进度安排②培训计划 评审标准： （1）完整性：内容全面，对各方面实施工作部署安排周密，有详细的描述和说明。 （2）合理性：切合实际，思路清晰，科学合理。 （3）针对性：方案编制紧扣项目特点和采购需求，针对性强。 赋分标准： ①交货方案科学合理、安全可行，确保安装、调试方案的可行性，提高安装、调试效率和准确性，产品的运送进度安排合理可行且符合项目需求。每完全满足一条评审标准且符合项目实际情况的计3分；针对每条评审标准，如存在不合理的方面，扣0.5分;针对每条评审标准，方案内容与本项目无关或未提供的，得0分 ②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每完全满足一条评审标准且符合项目实际情况的计3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承诺书</w:t>
            </w:r>
          </w:p>
          <w:p>
            <w:pPr>
              <w:pStyle w:val="null3"/>
            </w:pPr>
            <w:r>
              <w:rPr>
                <w:rFonts w:ascii="仿宋_GB2312" w:hAnsi="仿宋_GB2312" w:cs="仿宋_GB2312" w:eastAsia="仿宋_GB2312"/>
              </w:rPr>
              <w:t>06供应商资格证明文件.docx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11技术文件.docx</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05分项报价表.docx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有详细的售后服务方案。具有相应的物力、人力保障，能够保证产、供、销，服务正常运转；有详细的在产品发生不同类型故障后的，到达现场时间、解决故障时间、补救措施的承诺。具有明确的承诺且符合实际需求，提供详细的售后服务承诺。能够完全满足采购需求的得3.1-5分；售后服务方案及措施基本可行，对响应及上门时间有 明确表述，基本能够满足采购需求的得1.1-3分； 售后服务方案及措施欠缺较多，对响应及上门时间有相应表述，不能完全满足采购需求的得0.1-1分；未提供方案的得0分。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11技术文件.docx</w:t>
            </w:r>
          </w:p>
          <w:p>
            <w:pPr>
              <w:pStyle w:val="null3"/>
            </w:pPr>
            <w:r>
              <w:rPr>
                <w:rFonts w:ascii="仿宋_GB2312" w:hAnsi="仿宋_GB2312" w:cs="仿宋_GB2312" w:eastAsia="仿宋_GB2312"/>
              </w:rPr>
              <w:t>06供应商资格证明文件.docx</w:t>
            </w:r>
          </w:p>
          <w:p>
            <w:pPr>
              <w:pStyle w:val="null3"/>
            </w:pPr>
            <w:r>
              <w:rPr>
                <w:rFonts w:ascii="仿宋_GB2312" w:hAnsi="仿宋_GB2312" w:cs="仿宋_GB2312" w:eastAsia="仿宋_GB2312"/>
              </w:rPr>
              <w:t>05分项报价表.docx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承诺书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投标文件中提供该投标人自2022年4月1日起至今的类似项目业绩，每提供一份业绩合同得1分，满分为5分，不得重复累计。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11技术文件.docx</w:t>
            </w:r>
          </w:p>
          <w:p>
            <w:pPr>
              <w:pStyle w:val="null3"/>
            </w:pPr>
            <w:r>
              <w:rPr>
                <w:rFonts w:ascii="仿宋_GB2312" w:hAnsi="仿宋_GB2312" w:cs="仿宋_GB2312" w:eastAsia="仿宋_GB2312"/>
              </w:rPr>
              <w:t>06供应商资格证明文件.docx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承诺书</w:t>
            </w:r>
          </w:p>
          <w:p>
            <w:pPr>
              <w:pStyle w:val="null3"/>
            </w:pPr>
            <w:r>
              <w:rPr>
                <w:rFonts w:ascii="仿宋_GB2312" w:hAnsi="仿宋_GB2312" w:cs="仿宋_GB2312" w:eastAsia="仿宋_GB2312"/>
              </w:rPr>
              <w:t>05分项报价表.docx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 满足招标文件要求且投标报价最低 的报价为评审基准价，其价格分为 满分。其他投标人的价格分统一按 照下列公式计算： 投标报价得分=（评审基准价/投标报价）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06供应商资格证明文件.docx</w:t>
            </w:r>
          </w:p>
          <w:p>
            <w:pPr>
              <w:pStyle w:val="null3"/>
            </w:pPr>
            <w:r>
              <w:rPr>
                <w:rFonts w:ascii="仿宋_GB2312" w:hAnsi="仿宋_GB2312" w:cs="仿宋_GB2312" w:eastAsia="仿宋_GB2312"/>
              </w:rPr>
              <w:t>承诺书</w:t>
            </w:r>
          </w:p>
          <w:p>
            <w:pPr>
              <w:pStyle w:val="null3"/>
            </w:pPr>
            <w:r>
              <w:rPr>
                <w:rFonts w:ascii="仿宋_GB2312" w:hAnsi="仿宋_GB2312" w:cs="仿宋_GB2312" w:eastAsia="仿宋_GB2312"/>
              </w:rPr>
              <w:t>05分项报价表.docx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投标报价一览表</w:t>
            </w:r>
          </w:p>
          <w:p>
            <w:pPr>
              <w:pStyle w:val="null3"/>
            </w:pPr>
            <w:r>
              <w:rPr>
                <w:rFonts w:ascii="仿宋_GB2312" w:hAnsi="仿宋_GB2312" w:cs="仿宋_GB2312" w:eastAsia="仿宋_GB2312"/>
              </w:rPr>
              <w:t>11技术文件.docx</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详见附件：投标报价一览表</w:t>
      </w:r>
    </w:p>
    <w:p>
      <w:pPr>
        <w:pStyle w:val="null3"/>
        <w:ind w:firstLine="960"/>
      </w:pPr>
      <w:r>
        <w:rPr>
          <w:rFonts w:ascii="仿宋_GB2312" w:hAnsi="仿宋_GB2312" w:cs="仿宋_GB2312" w:eastAsia="仿宋_GB2312"/>
        </w:rPr>
        <w:t>详见附件：11技术文件.docx</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详见附件：06供应商资格证明文件.docx</w:t>
      </w:r>
    </w:p>
    <w:p>
      <w:pPr>
        <w:pStyle w:val="null3"/>
        <w:ind w:firstLine="960"/>
      </w:pPr>
      <w:r>
        <w:rPr>
          <w:rFonts w:ascii="仿宋_GB2312" w:hAnsi="仿宋_GB2312" w:cs="仿宋_GB2312" w:eastAsia="仿宋_GB2312"/>
        </w:rPr>
        <w:t>详见附件：05分项报价表.docx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