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版本号：TXGL2025-CS-01520250521001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2025年全过程预算绩效管理服务项目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TXGL2025-CS-015</w:t>
      </w:r>
      <w:r>
        <w:br/>
      </w:r>
      <w:r>
        <w:br/>
      </w:r>
      <w:r>
        <w:br/>
      </w:r>
    </w:p>
    <w:p>
      <w:pPr>
        <w:pStyle w:val="null3"/>
        <w:jc w:val="center"/>
        <w:outlineLvl w:val="2"/>
      </w:pPr>
      <w:r>
        <w:rPr>
          <w:rFonts w:ascii="仿宋_GB2312" w:hAnsi="仿宋_GB2312" w:cs="仿宋_GB2312" w:eastAsia="仿宋_GB2312"/>
          <w:sz w:val="28"/>
          <w:b/>
        </w:rPr>
        <w:t>铜川市王益区财政局</w:t>
      </w:r>
    </w:p>
    <w:p>
      <w:pPr>
        <w:pStyle w:val="null3"/>
        <w:jc w:val="center"/>
        <w:outlineLvl w:val="2"/>
      </w:pPr>
      <w:r>
        <w:rPr>
          <w:rFonts w:ascii="仿宋_GB2312" w:hAnsi="仿宋_GB2312" w:cs="仿宋_GB2312" w:eastAsia="仿宋_GB2312"/>
          <w:sz w:val="28"/>
          <w:b/>
        </w:rPr>
        <w:t>陕西天星工程项目管理有限责任公司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陕西天星工程项目管理有限责任公司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铜川市王益区财政局</w:t>
      </w:r>
      <w:r>
        <w:rPr>
          <w:rFonts w:ascii="仿宋_GB2312" w:hAnsi="仿宋_GB2312" w:cs="仿宋_GB2312" w:eastAsia="仿宋_GB2312"/>
        </w:rPr>
        <w:t>委托，拟对</w:t>
      </w:r>
      <w:r>
        <w:rPr>
          <w:rFonts w:ascii="仿宋_GB2312" w:hAnsi="仿宋_GB2312" w:cs="仿宋_GB2312" w:eastAsia="仿宋_GB2312"/>
        </w:rPr>
        <w:t>2025年全过程预算绩效管理服务项目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TXGL2025-CS-015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2025年全过程预算绩效管理服务项目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完善全方位、全过程、全覆盖的预算绩效管理体系，全面推进财政预算绩效管理工作，将绩效理念和方法深度融入预算编制、执行、监督全过程，构建事前、事中、事后绩效管理闭环系统，重点突出问题导向，聚焦提升覆盖面广、社会关注度高、持续时间长的重大政策项目的实施效果，增强预算统筹能力，区财政局将组织开展 2025 年财政预算资金全过程绩效管理工作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采购包1（2025年全过程预算绩效管理服务项目）：属于专门面向中小企业采购。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 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 人授权委托书：供应商提供法定代表人授权委托书原件（附法定代表人、被授权委托人身份证复印件）及被授权委托 人身份证原件（法定代表人参加投标须提供法定代表人身份证明书及身份证）；供应商需在项目电子化交易系统中按要求上传相应证明文件并进行电子签章。</w:t>
      </w:r>
    </w:p>
    <w:p>
      <w:pPr>
        <w:pStyle w:val="null3"/>
      </w:pPr>
      <w:r>
        <w:rPr>
          <w:rFonts w:ascii="仿宋_GB2312" w:hAnsi="仿宋_GB2312" w:cs="仿宋_GB2312" w:eastAsia="仿宋_GB2312"/>
        </w:rPr>
        <w:t>3、财务状况：提供2023或2024年度经会计师事务所审计的财务状况报告（至少包括资产负债表和利润表，成立时间至提交响应文件截止时间不足一年的可提供成立后任意时段的资产负债表）或提供其开标前三个月内基本存款账户开户银行出具的资信证明及基本存款账户开户信息；供应商需在项目电子化交易系统中按要 求上传相应证明文件并进行电子签章。</w:t>
      </w:r>
    </w:p>
    <w:p>
      <w:pPr>
        <w:pStyle w:val="null3"/>
      </w:pPr>
      <w:r>
        <w:rPr>
          <w:rFonts w:ascii="仿宋_GB2312" w:hAnsi="仿宋_GB2312" w:cs="仿宋_GB2312" w:eastAsia="仿宋_GB2312"/>
        </w:rPr>
        <w:t>4、依法缴纳 税收和社会保障资金：有依法缴纳税收和社会保障资金的相关材料（提供近半年内任意一个月的税收（任意税种）及社保缴纳证明材料。（依法免税的应提供相关文件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 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 所必需的 设备和专 业技术能力：具备履行合同所必需的设备和专业技术能力的承诺；供应商需在项目电子化交易系统中按要求上传相应证明文件并进行电子签章。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7、信用查询：供应商不得为“信用中国”网站（www.creditchina.gov.cn）中列入失信被执行人、重大税收违法案 件当事人名单的供应商；不得为中国政府采购网（www.ccgp.gov.cn）政府采购严重违法失信行为信息记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8、联合体：本项目不接受联合体磋商；供应商需在项目电子化交易系统中按要求上传相应证明文件并进行电子签章。</w:t>
      </w:r>
    </w:p>
    <w:p>
      <w:pPr>
        <w:pStyle w:val="null3"/>
      </w:pPr>
      <w:r>
        <w:rPr>
          <w:rFonts w:ascii="仿宋_GB2312" w:hAnsi="仿宋_GB2312" w:cs="仿宋_GB2312" w:eastAsia="仿宋_GB2312"/>
        </w:rPr>
        <w:t>9、面向中小企业采购 ：本项目专门面向中小企业采购。供应商需在项目电子化交易系统中按要求上传相应证明文件并进行电子签章。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铜川市王益区财政局经办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18681859933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陕西天星工程项目管理有限责任公司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西安市高新三路信息港大厦309室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赵筱苛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规定的标准计算收费。成交单位在领取成交通知书前，一次性向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铜川市王益区财政局</w:t>
      </w:r>
      <w:r>
        <w:rPr>
          <w:rFonts w:ascii="仿宋_GB2312" w:hAnsi="仿宋_GB2312" w:cs="仿宋_GB2312" w:eastAsia="仿宋_GB2312"/>
        </w:rPr>
        <w:t>和</w:t>
      </w:r>
      <w:r>
        <w:rPr>
          <w:rFonts w:ascii="仿宋_GB2312" w:hAnsi="仿宋_GB2312" w:cs="仿宋_GB2312" w:eastAsia="仿宋_GB2312"/>
        </w:rPr>
        <w:t>陕西天星工程项目管理有限责任公司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陕西天星工程项目管理有限责任公司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陕西天星工程项目管理有限责任公司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分段/分期验收，符合采购需求，通过采购人及上级部门审核</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陕西天星工程项目管理有限责任公司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陕西天星工程项目管理有限责任公司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陕西天星工程项目管理有限责任公司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联系人：寇 工</w:t>
      </w:r>
    </w:p>
    <w:p>
      <w:pPr>
        <w:pStyle w:val="null3"/>
      </w:pPr>
      <w:r>
        <w:rPr>
          <w:rFonts w:ascii="仿宋_GB2312" w:hAnsi="仿宋_GB2312" w:cs="仿宋_GB2312" w:eastAsia="仿宋_GB2312"/>
        </w:rPr>
        <w:t>联系电话：029-88224643</w:t>
      </w:r>
    </w:p>
    <w:p>
      <w:pPr>
        <w:pStyle w:val="null3"/>
      </w:pPr>
      <w:r>
        <w:rPr>
          <w:rFonts w:ascii="仿宋_GB2312" w:hAnsi="仿宋_GB2312" w:cs="仿宋_GB2312" w:eastAsia="仿宋_GB2312"/>
        </w:rPr>
        <w:t>地址：西安市高新三路信息港大厦309室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完善全方位、全过程、全覆盖的预算绩效管理体系，全面推进财政预算绩效管理工作，将绩效理念和方法深度融入预算编制、执行、监督全过程，构建事前、事中、事后绩效管理闭环系统，重点突出问题导向，聚焦提升覆盖面广、社会关注度高、持续时间长的重大政策项目的实施效果，增强预算统筹能力，区财政局将组织开展 2025 年财政预算资金全过程绩效管理工作。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服务内容</w:t>
            </w:r>
          </w:p>
          <w:p>
            <w:pPr>
              <w:pStyle w:val="null3"/>
            </w:pPr>
            <w:r>
              <w:rPr>
                <w:rFonts w:ascii="仿宋_GB2312" w:hAnsi="仿宋_GB2312" w:cs="仿宋_GB2312" w:eastAsia="仿宋_GB2312"/>
                <w:sz w:val="19"/>
                <w:color w:val="000000"/>
              </w:rPr>
              <w:t xml:space="preserve">(1).2024 </w:t>
            </w:r>
            <w:r>
              <w:rPr>
                <w:rFonts w:ascii="仿宋_GB2312" w:hAnsi="仿宋_GB2312" w:cs="仿宋_GB2312" w:eastAsia="仿宋_GB2312"/>
                <w:sz w:val="19"/>
                <w:color w:val="000000"/>
              </w:rPr>
              <w:t>年财政预算资金重点项目及 2024 年部门整体支出绩效评价；（约十六个）</w:t>
            </w:r>
          </w:p>
          <w:p>
            <w:pPr>
              <w:pStyle w:val="null3"/>
            </w:pPr>
            <w:r>
              <w:rPr>
                <w:rFonts w:ascii="仿宋_GB2312" w:hAnsi="仿宋_GB2312" w:cs="仿宋_GB2312" w:eastAsia="仿宋_GB2312"/>
                <w:sz w:val="19"/>
                <w:color w:val="000000"/>
              </w:rPr>
              <w:t xml:space="preserve">(2).2025 </w:t>
            </w:r>
            <w:r>
              <w:rPr>
                <w:rFonts w:ascii="仿宋_GB2312" w:hAnsi="仿宋_GB2312" w:cs="仿宋_GB2312" w:eastAsia="仿宋_GB2312"/>
                <w:sz w:val="19"/>
                <w:color w:val="000000"/>
              </w:rPr>
              <w:t>年财政预算资金重点项目事中运行监控；（约八个）</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地方政府专项债券项目事中运行监控；（约十个）</w:t>
            </w:r>
          </w:p>
          <w:p>
            <w:pPr>
              <w:pStyle w:val="null3"/>
            </w:pPr>
            <w:r>
              <w:rPr>
                <w:rFonts w:ascii="仿宋_GB2312" w:hAnsi="仿宋_GB2312" w:cs="仿宋_GB2312" w:eastAsia="仿宋_GB2312"/>
                <w:sz w:val="19"/>
                <w:color w:val="000000"/>
              </w:rPr>
              <w:t xml:space="preserve">(4).2026 </w:t>
            </w:r>
            <w:r>
              <w:rPr>
                <w:rFonts w:ascii="仿宋_GB2312" w:hAnsi="仿宋_GB2312" w:cs="仿宋_GB2312" w:eastAsia="仿宋_GB2312"/>
                <w:sz w:val="19"/>
                <w:color w:val="000000"/>
              </w:rPr>
              <w:t>年财政预算资金重点项目事前绩效评估；（约十二个）</w:t>
            </w:r>
          </w:p>
          <w:p>
            <w:pPr>
              <w:pStyle w:val="null3"/>
            </w:pPr>
            <w:r>
              <w:rPr>
                <w:rFonts w:ascii="仿宋_GB2312" w:hAnsi="仿宋_GB2312" w:cs="仿宋_GB2312" w:eastAsia="仿宋_GB2312"/>
                <w:sz w:val="19"/>
                <w:color w:val="000000"/>
              </w:rPr>
              <w:t>(5).</w:t>
            </w:r>
            <w:r>
              <w:rPr>
                <w:rFonts w:ascii="仿宋_GB2312" w:hAnsi="仿宋_GB2312" w:cs="仿宋_GB2312" w:eastAsia="仿宋_GB2312"/>
                <w:sz w:val="19"/>
                <w:color w:val="000000"/>
              </w:rPr>
              <w:t>王益区 2024 年度财政预算资金绩效自评复审；</w:t>
            </w:r>
          </w:p>
          <w:p>
            <w:pPr>
              <w:pStyle w:val="null3"/>
            </w:pPr>
            <w:r>
              <w:rPr>
                <w:rFonts w:ascii="仿宋_GB2312" w:hAnsi="仿宋_GB2312" w:cs="仿宋_GB2312" w:eastAsia="仿宋_GB2312"/>
                <w:sz w:val="19"/>
                <w:color w:val="000000"/>
              </w:rPr>
              <w:t>(6).</w:t>
            </w:r>
            <w:r>
              <w:rPr>
                <w:rFonts w:ascii="仿宋_GB2312" w:hAnsi="仿宋_GB2312" w:cs="仿宋_GB2312" w:eastAsia="仿宋_GB2312"/>
                <w:sz w:val="19"/>
                <w:color w:val="000000"/>
              </w:rPr>
              <w:t>王益区 2025 年度财政预算资金绩效监控复审；</w:t>
            </w:r>
          </w:p>
          <w:p>
            <w:pPr>
              <w:pStyle w:val="null3"/>
            </w:pPr>
            <w:r>
              <w:rPr>
                <w:rFonts w:ascii="仿宋_GB2312" w:hAnsi="仿宋_GB2312" w:cs="仿宋_GB2312" w:eastAsia="仿宋_GB2312"/>
                <w:sz w:val="19"/>
                <w:color w:val="000000"/>
              </w:rPr>
              <w:t>(7).</w:t>
            </w:r>
            <w:r>
              <w:rPr>
                <w:rFonts w:ascii="仿宋_GB2312" w:hAnsi="仿宋_GB2312" w:cs="仿宋_GB2312" w:eastAsia="仿宋_GB2312"/>
                <w:sz w:val="19"/>
                <w:color w:val="000000"/>
              </w:rPr>
              <w:t>编制三个重点部门绩效指标库；</w:t>
            </w:r>
          </w:p>
          <w:p>
            <w:pPr>
              <w:pStyle w:val="null3"/>
            </w:pPr>
            <w:r>
              <w:rPr>
                <w:rFonts w:ascii="仿宋_GB2312" w:hAnsi="仿宋_GB2312" w:cs="仿宋_GB2312" w:eastAsia="仿宋_GB2312"/>
                <w:sz w:val="19"/>
                <w:color w:val="000000"/>
              </w:rPr>
              <w:t xml:space="preserve">(8).2026 </w:t>
            </w:r>
            <w:r>
              <w:rPr>
                <w:rFonts w:ascii="仿宋_GB2312" w:hAnsi="仿宋_GB2312" w:cs="仿宋_GB2312" w:eastAsia="仿宋_GB2312"/>
                <w:sz w:val="19"/>
                <w:color w:val="000000"/>
              </w:rPr>
              <w:t>年财政预算资金绩效指标审核；</w:t>
            </w:r>
          </w:p>
          <w:p>
            <w:pPr>
              <w:pStyle w:val="null3"/>
            </w:pPr>
            <w:r>
              <w:rPr>
                <w:rFonts w:ascii="仿宋_GB2312" w:hAnsi="仿宋_GB2312" w:cs="仿宋_GB2312" w:eastAsia="仿宋_GB2312"/>
                <w:sz w:val="19"/>
                <w:color w:val="000000"/>
              </w:rPr>
              <w:t>(9).</w:t>
            </w:r>
            <w:r>
              <w:rPr>
                <w:rFonts w:ascii="仿宋_GB2312" w:hAnsi="仿宋_GB2312" w:cs="仿宋_GB2312" w:eastAsia="仿宋_GB2312"/>
                <w:sz w:val="19"/>
                <w:color w:val="000000"/>
              </w:rPr>
              <w:t>财政预算绩效管理培训；</w:t>
            </w:r>
          </w:p>
          <w:p>
            <w:pPr>
              <w:pStyle w:val="null3"/>
            </w:pPr>
            <w:r>
              <w:rPr>
                <w:rFonts w:ascii="仿宋_GB2312" w:hAnsi="仿宋_GB2312" w:cs="仿宋_GB2312" w:eastAsia="仿宋_GB2312"/>
                <w:sz w:val="19"/>
                <w:color w:val="000000"/>
              </w:rPr>
              <w:t>(10).</w:t>
            </w:r>
            <w:r>
              <w:rPr>
                <w:rFonts w:ascii="仿宋_GB2312" w:hAnsi="仿宋_GB2312" w:cs="仿宋_GB2312" w:eastAsia="仿宋_GB2312"/>
                <w:sz w:val="19"/>
                <w:color w:val="000000"/>
              </w:rPr>
              <w:t>其他预算绩效临时服务需求；</w:t>
            </w:r>
          </w:p>
          <w:p>
            <w:pPr>
              <w:pStyle w:val="null3"/>
            </w:pPr>
            <w:r>
              <w:rPr>
                <w:rFonts w:ascii="仿宋_GB2312" w:hAnsi="仿宋_GB2312" w:cs="仿宋_GB2312" w:eastAsia="仿宋_GB2312"/>
                <w:sz w:val="19"/>
                <w:color w:val="000000"/>
              </w:rPr>
              <w:t>(11).</w:t>
            </w:r>
            <w:r>
              <w:rPr>
                <w:rFonts w:ascii="仿宋_GB2312" w:hAnsi="仿宋_GB2312" w:cs="仿宋_GB2312" w:eastAsia="仿宋_GB2312"/>
                <w:sz w:val="19"/>
                <w:color w:val="000000"/>
              </w:rPr>
              <w:t>编制王益区十五五财政专项规划。</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服务成果</w:t>
            </w:r>
          </w:p>
          <w:p>
            <w:pPr>
              <w:pStyle w:val="null3"/>
            </w:pPr>
            <w:r>
              <w:rPr>
                <w:rFonts w:ascii="仿宋_GB2312" w:hAnsi="仿宋_GB2312" w:cs="仿宋_GB2312" w:eastAsia="仿宋_GB2312"/>
                <w:sz w:val="19"/>
                <w:color w:val="000000"/>
              </w:rPr>
              <w:t xml:space="preserve">(1).2024 </w:t>
            </w:r>
            <w:r>
              <w:rPr>
                <w:rFonts w:ascii="仿宋_GB2312" w:hAnsi="仿宋_GB2312" w:cs="仿宋_GB2312" w:eastAsia="仿宋_GB2312"/>
                <w:sz w:val="19"/>
                <w:color w:val="000000"/>
              </w:rPr>
              <w:t>年财政预算资金重点项目支出绩效评价报告；</w:t>
            </w:r>
          </w:p>
          <w:p>
            <w:pPr>
              <w:pStyle w:val="null3"/>
            </w:pPr>
            <w:r>
              <w:rPr>
                <w:rFonts w:ascii="仿宋_GB2312" w:hAnsi="仿宋_GB2312" w:cs="仿宋_GB2312" w:eastAsia="仿宋_GB2312"/>
                <w:sz w:val="19"/>
                <w:color w:val="000000"/>
              </w:rPr>
              <w:t xml:space="preserve">(2).2024 </w:t>
            </w:r>
            <w:r>
              <w:rPr>
                <w:rFonts w:ascii="仿宋_GB2312" w:hAnsi="仿宋_GB2312" w:cs="仿宋_GB2312" w:eastAsia="仿宋_GB2312"/>
                <w:sz w:val="19"/>
                <w:color w:val="000000"/>
              </w:rPr>
              <w:t>年财政预算资金部门整体支出绩效评价报告；</w:t>
            </w:r>
          </w:p>
          <w:p>
            <w:pPr>
              <w:pStyle w:val="null3"/>
            </w:pPr>
            <w:r>
              <w:rPr>
                <w:rFonts w:ascii="仿宋_GB2312" w:hAnsi="仿宋_GB2312" w:cs="仿宋_GB2312" w:eastAsia="仿宋_GB2312"/>
                <w:sz w:val="19"/>
                <w:color w:val="000000"/>
              </w:rPr>
              <w:t xml:space="preserve">(3).2025 </w:t>
            </w:r>
            <w:r>
              <w:rPr>
                <w:rFonts w:ascii="仿宋_GB2312" w:hAnsi="仿宋_GB2312" w:cs="仿宋_GB2312" w:eastAsia="仿宋_GB2312"/>
                <w:sz w:val="19"/>
                <w:color w:val="000000"/>
              </w:rPr>
              <w:t>年财政预算资金重点项目事中运行监控报告；</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地方政府专项债券项目事中运行监控报告；</w:t>
            </w:r>
          </w:p>
          <w:p>
            <w:pPr>
              <w:pStyle w:val="null3"/>
            </w:pPr>
            <w:r>
              <w:rPr>
                <w:rFonts w:ascii="仿宋_GB2312" w:hAnsi="仿宋_GB2312" w:cs="仿宋_GB2312" w:eastAsia="仿宋_GB2312"/>
                <w:sz w:val="19"/>
                <w:color w:val="000000"/>
              </w:rPr>
              <w:t xml:space="preserve">(5).2026 </w:t>
            </w:r>
            <w:r>
              <w:rPr>
                <w:rFonts w:ascii="仿宋_GB2312" w:hAnsi="仿宋_GB2312" w:cs="仿宋_GB2312" w:eastAsia="仿宋_GB2312"/>
                <w:sz w:val="19"/>
                <w:color w:val="000000"/>
              </w:rPr>
              <w:t>年财政预算资金重点项目事前绩效评估报告；</w:t>
            </w:r>
          </w:p>
          <w:p>
            <w:pPr>
              <w:pStyle w:val="null3"/>
            </w:pPr>
            <w:r>
              <w:rPr>
                <w:rFonts w:ascii="仿宋_GB2312" w:hAnsi="仿宋_GB2312" w:cs="仿宋_GB2312" w:eastAsia="仿宋_GB2312"/>
                <w:sz w:val="19"/>
                <w:color w:val="000000"/>
              </w:rPr>
              <w:t xml:space="preserve">(6).2024 </w:t>
            </w:r>
            <w:r>
              <w:rPr>
                <w:rFonts w:ascii="仿宋_GB2312" w:hAnsi="仿宋_GB2312" w:cs="仿宋_GB2312" w:eastAsia="仿宋_GB2312"/>
                <w:sz w:val="19"/>
                <w:color w:val="000000"/>
              </w:rPr>
              <w:t>年度财政预算资金绩效自评复审汇总报告；</w:t>
            </w:r>
          </w:p>
          <w:p>
            <w:pPr>
              <w:pStyle w:val="null3"/>
            </w:pPr>
            <w:r>
              <w:rPr>
                <w:rFonts w:ascii="仿宋_GB2312" w:hAnsi="仿宋_GB2312" w:cs="仿宋_GB2312" w:eastAsia="仿宋_GB2312"/>
                <w:sz w:val="19"/>
                <w:color w:val="000000"/>
              </w:rPr>
              <w:t xml:space="preserve">(7).2025 </w:t>
            </w:r>
            <w:r>
              <w:rPr>
                <w:rFonts w:ascii="仿宋_GB2312" w:hAnsi="仿宋_GB2312" w:cs="仿宋_GB2312" w:eastAsia="仿宋_GB2312"/>
                <w:sz w:val="19"/>
                <w:color w:val="000000"/>
              </w:rPr>
              <w:t>年度财政预算资金绩效监控复审汇总报告；</w:t>
            </w:r>
          </w:p>
          <w:p>
            <w:pPr>
              <w:pStyle w:val="null3"/>
            </w:pPr>
            <w:r>
              <w:rPr>
                <w:rFonts w:ascii="仿宋_GB2312" w:hAnsi="仿宋_GB2312" w:cs="仿宋_GB2312" w:eastAsia="仿宋_GB2312"/>
                <w:sz w:val="19"/>
                <w:color w:val="000000"/>
              </w:rPr>
              <w:t>(8).</w:t>
            </w:r>
            <w:r>
              <w:rPr>
                <w:rFonts w:ascii="仿宋_GB2312" w:hAnsi="仿宋_GB2312" w:cs="仿宋_GB2312" w:eastAsia="仿宋_GB2312"/>
                <w:sz w:val="19"/>
                <w:color w:val="000000"/>
              </w:rPr>
              <w:t>重点部门绩效指标库；</w:t>
            </w:r>
          </w:p>
          <w:p>
            <w:pPr>
              <w:pStyle w:val="null3"/>
            </w:pPr>
            <w:r>
              <w:rPr>
                <w:rFonts w:ascii="仿宋_GB2312" w:hAnsi="仿宋_GB2312" w:cs="仿宋_GB2312" w:eastAsia="仿宋_GB2312"/>
                <w:sz w:val="19"/>
                <w:color w:val="000000"/>
              </w:rPr>
              <w:t>(9).</w:t>
            </w:r>
            <w:r>
              <w:rPr>
                <w:rFonts w:ascii="仿宋_GB2312" w:hAnsi="仿宋_GB2312" w:cs="仿宋_GB2312" w:eastAsia="仿宋_GB2312"/>
                <w:sz w:val="19"/>
                <w:color w:val="000000"/>
              </w:rPr>
              <w:t>财政预算绩效培训；</w:t>
            </w:r>
          </w:p>
          <w:p>
            <w:pPr>
              <w:pStyle w:val="null3"/>
            </w:pPr>
            <w:r>
              <w:rPr>
                <w:rFonts w:ascii="仿宋_GB2312" w:hAnsi="仿宋_GB2312" w:cs="仿宋_GB2312" w:eastAsia="仿宋_GB2312"/>
                <w:sz w:val="19"/>
                <w:color w:val="000000"/>
              </w:rPr>
              <w:t>(10).</w:t>
            </w:r>
            <w:r>
              <w:rPr>
                <w:rFonts w:ascii="仿宋_GB2312" w:hAnsi="仿宋_GB2312" w:cs="仿宋_GB2312" w:eastAsia="仿宋_GB2312"/>
                <w:sz w:val="19"/>
                <w:color w:val="000000"/>
              </w:rPr>
              <w:t>王益区十五五财政专项规划。</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成果提交及条件要求</w:t>
            </w:r>
          </w:p>
          <w:p>
            <w:pPr>
              <w:pStyle w:val="null3"/>
            </w:pPr>
            <w:r>
              <w:rPr>
                <w:rFonts w:ascii="仿宋_GB2312" w:hAnsi="仿宋_GB2312" w:cs="仿宋_GB2312" w:eastAsia="仿宋_GB2312"/>
                <w:sz w:val="19"/>
                <w:color w:val="000000"/>
              </w:rPr>
              <w:t>（一）成果提交要求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提交 2024 年财政预算资金重点项目及 2024 年部门整体支出绩效评价报告；（约十六个）</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提交 2025 年财政重点项目事中运行监控报告；（约八个）</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提交地方政府专项债券项目事中运行监控报告；（约十个）</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提交 2026 年财政预算资金重点项目事前绩效评估报告；（约十二个）</w:t>
            </w:r>
          </w:p>
          <w:p>
            <w:pPr>
              <w:pStyle w:val="null3"/>
            </w:pPr>
            <w:r>
              <w:rPr>
                <w:rFonts w:ascii="仿宋_GB2312" w:hAnsi="仿宋_GB2312" w:cs="仿宋_GB2312" w:eastAsia="仿宋_GB2312"/>
                <w:sz w:val="19"/>
                <w:color w:val="000000"/>
              </w:rPr>
              <w:t>(5).</w:t>
            </w:r>
            <w:r>
              <w:rPr>
                <w:rFonts w:ascii="仿宋_GB2312" w:hAnsi="仿宋_GB2312" w:cs="仿宋_GB2312" w:eastAsia="仿宋_GB2312"/>
                <w:sz w:val="19"/>
                <w:color w:val="000000"/>
              </w:rPr>
              <w:t>提交 2024 年度财政预算资金绩效自评复审汇总报告一个；</w:t>
            </w:r>
          </w:p>
          <w:p>
            <w:pPr>
              <w:pStyle w:val="null3"/>
            </w:pPr>
            <w:r>
              <w:rPr>
                <w:rFonts w:ascii="仿宋_GB2312" w:hAnsi="仿宋_GB2312" w:cs="仿宋_GB2312" w:eastAsia="仿宋_GB2312"/>
                <w:sz w:val="19"/>
                <w:color w:val="000000"/>
              </w:rPr>
              <w:t>(6).</w:t>
            </w:r>
            <w:r>
              <w:rPr>
                <w:rFonts w:ascii="仿宋_GB2312" w:hAnsi="仿宋_GB2312" w:cs="仿宋_GB2312" w:eastAsia="仿宋_GB2312"/>
                <w:sz w:val="19"/>
                <w:color w:val="000000"/>
              </w:rPr>
              <w:t>提交 2025 年度财政预算资金绩效运行监控复审汇总报告一个；</w:t>
            </w:r>
          </w:p>
          <w:p>
            <w:pPr>
              <w:pStyle w:val="null3"/>
            </w:pPr>
            <w:r>
              <w:rPr>
                <w:rFonts w:ascii="仿宋_GB2312" w:hAnsi="仿宋_GB2312" w:cs="仿宋_GB2312" w:eastAsia="仿宋_GB2312"/>
                <w:sz w:val="19"/>
                <w:color w:val="000000"/>
              </w:rPr>
              <w:t>(7).</w:t>
            </w:r>
            <w:r>
              <w:rPr>
                <w:rFonts w:ascii="仿宋_GB2312" w:hAnsi="仿宋_GB2312" w:cs="仿宋_GB2312" w:eastAsia="仿宋_GB2312"/>
                <w:sz w:val="19"/>
                <w:color w:val="000000"/>
              </w:rPr>
              <w:t>提交王益区重点部门绩效指标库三个；</w:t>
            </w:r>
          </w:p>
          <w:p>
            <w:pPr>
              <w:pStyle w:val="null3"/>
            </w:pPr>
            <w:r>
              <w:rPr>
                <w:rFonts w:ascii="仿宋_GB2312" w:hAnsi="仿宋_GB2312" w:cs="仿宋_GB2312" w:eastAsia="仿宋_GB2312"/>
                <w:sz w:val="19"/>
                <w:color w:val="000000"/>
              </w:rPr>
              <w:t>(8).</w:t>
            </w:r>
            <w:r>
              <w:rPr>
                <w:rFonts w:ascii="仿宋_GB2312" w:hAnsi="仿宋_GB2312" w:cs="仿宋_GB2312" w:eastAsia="仿宋_GB2312"/>
                <w:sz w:val="19"/>
                <w:color w:val="000000"/>
              </w:rPr>
              <w:t>提交王益区十五五财政专项规划一个。</w:t>
            </w:r>
          </w:p>
          <w:p>
            <w:pPr>
              <w:pStyle w:val="null3"/>
            </w:pPr>
            <w:r>
              <w:rPr>
                <w:rFonts w:ascii="仿宋_GB2312" w:hAnsi="仿宋_GB2312" w:cs="仿宋_GB2312" w:eastAsia="仿宋_GB2312"/>
                <w:sz w:val="19"/>
                <w:color w:val="000000"/>
              </w:rPr>
              <w:t>（二）提交成果所需前提条件要求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要求项目绩效成果的提交时间以甲乙双方最终签订的合同为准。</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要求认真履行保密义务，在编制绩效报告的过程中，收集、知悉的委托方经营、财务及法律状况和项目单位相关数据、文件资料进行严格保密，未经甲方允许，确保不泄露给任何第三方的单位或个人。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符合项目履约必备的技术人员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符合项目履约必备的设备设施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对项目成果进行现场检查，确保项目成果符合实际需求和质量标准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甲方通知乙方启动编制报告后，乙方在规定时间提交绩效报告终稿，且开具发票，甲方向乙方一次性支付此项费用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 人授权委托书</w:t>
            </w:r>
          </w:p>
        </w:tc>
        <w:tc>
          <w:tcPr>
            <w:tcW w:type="dxa" w:w="3322"/>
          </w:tcPr>
          <w:p>
            <w:pPr>
              <w:pStyle w:val="null3"/>
            </w:pPr>
            <w:r>
              <w:rPr>
                <w:rFonts w:ascii="仿宋_GB2312" w:hAnsi="仿宋_GB2312" w:cs="仿宋_GB2312" w:eastAsia="仿宋_GB2312"/>
              </w:rPr>
              <w:t>供应商提供法定代表人授权委托书原件（附法定代表人、被授权委托人身份证复印件）及被授权委托 人身份证原件（法定代表人参加投标须提供法定代表人身份证明书及身份证）；供应商需在项目电子化交易系统中按要求上传相应证明文件并进行电子签章。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经会计师事务所审计的财务状况报告（至少包括资产负债表和利润表，成立时间至提交响应文件截止时间不足一年的可提供成立后任意时段的资产负债表）或提供其开标前三个月内基本存款账户开户银行出具的资信证明及基本存款账户开户信息；供应商需在项目电子化交易系统中按要 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 税收和社会保障资金</w:t>
            </w:r>
          </w:p>
        </w:tc>
        <w:tc>
          <w:tcPr>
            <w:tcW w:type="dxa" w:w="3322"/>
          </w:tcPr>
          <w:p>
            <w:pPr>
              <w:pStyle w:val="null3"/>
            </w:pPr>
            <w:r>
              <w:rPr>
                <w:rFonts w:ascii="仿宋_GB2312" w:hAnsi="仿宋_GB2312" w:cs="仿宋_GB2312" w:eastAsia="仿宋_GB2312"/>
              </w:rPr>
              <w:t>有依法缴纳税收和社会保障资金的相关材料（提供近半年内任意一个月的税收（任意税种）及社保缴纳证明材料。（依法免税的应提供相关文件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 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 所必需的 设备和专 业技术能力</w:t>
            </w:r>
          </w:p>
        </w:tc>
        <w:tc>
          <w:tcPr>
            <w:tcW w:type="dxa" w:w="3322"/>
          </w:tcPr>
          <w:p>
            <w:pPr>
              <w:pStyle w:val="null3"/>
            </w:pPr>
            <w:r>
              <w:rPr>
                <w:rFonts w:ascii="仿宋_GB2312" w:hAnsi="仿宋_GB2312" w:cs="仿宋_GB2312" w:eastAsia="仿宋_GB2312"/>
              </w:rPr>
              <w:t>具备履行合同所必需的设备和专业技术能力的承诺；供应商需在项目电子化交易系统中按要求上传相应证明文件并进行电子签章。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供应商不得为“信用中国”网站（www.creditchina.gov.cn）中列入失信被执行人、重大税收违法案 件当事人名单的供应商；不得为中国政府采购网（www.ccgp.gov.cn）政府采购严重违法失信行为信息记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面向中小企业采购</w:t>
            </w:r>
          </w:p>
        </w:tc>
        <w:tc>
          <w:tcPr>
            <w:tcW w:type="dxa" w:w="3322"/>
          </w:tcPr>
          <w:p>
            <w:pPr>
              <w:pStyle w:val="null3"/>
            </w:pPr>
            <w:r>
              <w:rPr>
                <w:rFonts w:ascii="仿宋_GB2312" w:hAnsi="仿宋_GB2312" w:cs="仿宋_GB2312" w:eastAsia="仿宋_GB2312"/>
              </w:rPr>
              <w:t>本项目专门面向中小企业采购。供应商需在项目电子化交易系统中按要求上传相应证明文件并进行电子签章。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磋商小组根据各供应商投标文件中针对本项目的服务方案进行自主赋分。 对本项目背景和工作内容的理解深刻、分析全面、服务方案完整、合理、有针对性、整体服务方案工作思路清晰、方法先进、技术路线明确、任务分解合理。（18-25分） 对本项目背景和工作内容的理解较深刻、分析较全面、服务方案较完整、较合理、较有针对性、整体服务方案工作思路较清晰、方法较先进、技术路线较明确、任务分解较合理。（9-17分） 对本项目背景和工作内容的理解和分析一般、服务方案一般、整体服务方案一般，工作思路、方法、技术路线、任务分解较简单。（1-8分）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拟投入技术人员基本情况</w:t>
            </w:r>
          </w:p>
        </w:tc>
        <w:tc>
          <w:tcPr>
            <w:tcW w:type="dxa" w:w="2492"/>
          </w:tcPr>
          <w:p>
            <w:pPr>
              <w:pStyle w:val="null3"/>
            </w:pPr>
            <w:r>
              <w:rPr>
                <w:rFonts w:ascii="仿宋_GB2312" w:hAnsi="仿宋_GB2312" w:cs="仿宋_GB2312" w:eastAsia="仿宋_GB2312"/>
              </w:rPr>
              <w:t>拟投入项目负责人(主要指项目负责人的职业资格、资历、从业经历的经验等)的能力赋分。（1-6分） 根据投标人提供的项目其它成员结构是否合理综合评审。（1-4分）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为本项目制定完整可行的实施计划、质量保障体系等，具备完善的内部管理架构、工作流程、保密制度、考核制度、激励机制、信息反馈渠道等。磋商小组根据投标文件中所述内容的全面性、完整性、科学性赋分。 提供详细完善、科学的质量保障体系得16-20分； 提供较完善、科学的质量保障体系得9-15分。 提供的内容简单得1-8分。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提供满足采需求的时间进度安排一览表或说明，要求时间进度安排详细完善、科学、合理。 详细完善、科学、合理的时间保证措施得11-15分； 较完善、科学、合理的时间保证措施得6-10分； 提供的时间保证措施不全或内容简单得1-5分。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具备详细、可行的管理制度，完善、合理的程序，严谨的服务方案。阐述确保质量的基本保障措施，要求措施具体详细、可行。（1-10分）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全过程预算绩效管理咨询业绩</w:t>
            </w:r>
          </w:p>
        </w:tc>
        <w:tc>
          <w:tcPr>
            <w:tcW w:type="dxa" w:w="2492"/>
          </w:tcPr>
          <w:p>
            <w:pPr>
              <w:pStyle w:val="null3"/>
            </w:pPr>
            <w:r>
              <w:rPr>
                <w:rFonts w:ascii="仿宋_GB2312" w:hAnsi="仿宋_GB2312" w:cs="仿宋_GB2312" w:eastAsia="仿宋_GB2312"/>
              </w:rPr>
              <w:t>根据供应商提供2022年01月至今的全过程预算绩效管理咨询服务合同（全过程预算绩效管理咨询服务合同服务内容需包括事前绩效评估报告编制、事中运行监控报告编制、部门整体支出及重点项目绩效评价报告编制）进行评审，以响应文件中提供的加盖公章的合同复印件为准。每个合同4分, 满分共计4分。（合同及各类报告原件备查）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业绩一览表.pdf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预算绩效管理咨询业绩</w:t>
            </w:r>
          </w:p>
        </w:tc>
        <w:tc>
          <w:tcPr>
            <w:tcW w:type="dxa" w:w="2492"/>
          </w:tcPr>
          <w:p>
            <w:pPr>
              <w:pStyle w:val="null3"/>
            </w:pPr>
            <w:r>
              <w:rPr>
                <w:rFonts w:ascii="仿宋_GB2312" w:hAnsi="仿宋_GB2312" w:cs="仿宋_GB2312" w:eastAsia="仿宋_GB2312"/>
              </w:rPr>
              <w:t>根据供应商提供2022年01月至今的类似预算绩效管理咨询服务合同（合同服务内容为事前绩效评估报告编制或事中运行监控报告编制或项目绩效评价报告编制）进行评审。（不得与全过程预算绩效管理咨询业绩重复累计）每个合同2分, 满分共计4分。 以响应文件中提供的加盖公章的合同复印件为准。（合同及各类报告原件备查）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专项债券项目绩效管理咨询业绩</w:t>
            </w:r>
          </w:p>
        </w:tc>
        <w:tc>
          <w:tcPr>
            <w:tcW w:type="dxa" w:w="2492"/>
          </w:tcPr>
          <w:p>
            <w:pPr>
              <w:pStyle w:val="null3"/>
            </w:pPr>
            <w:r>
              <w:rPr>
                <w:rFonts w:ascii="仿宋_GB2312" w:hAnsi="仿宋_GB2312" w:cs="仿宋_GB2312" w:eastAsia="仿宋_GB2312"/>
              </w:rPr>
              <w:t>根据供应商提供2022年01月至今的专项债券项目绩效管理咨询服务合同（合同中服务内容需包含专项债券项目事中运行监控报告编制）进行评审。（不得与全过程预算绩效管理咨询业绩、预算绩效管理咨询业绩重复累计）每个合同2分, 满分共计2分。 以响应文件中提供的加盖公章的合同复印件为准。（合同及各类报告原件备查）</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业绩一览表.pdf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采用低价优先法计算，以本次满足磋商文件要求的最低响应报价为评标基准价，其价格为满分，其他供应商的价格分，统一按照下列公式计算： 磋商报价得分=(评标基准价／磋商报价)×10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分项报价表5.21.pdf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详见附件：业绩一览表.pdf</w:t>
      </w:r>
    </w:p>
    <w:p>
      <w:pPr>
        <w:pStyle w:val="null3"/>
        <w:ind w:firstLine="960"/>
      </w:pPr>
      <w:r>
        <w:rPr>
          <w:rFonts w:ascii="仿宋_GB2312" w:hAnsi="仿宋_GB2312" w:cs="仿宋_GB2312" w:eastAsia="仿宋_GB2312"/>
        </w:rPr>
        <w:t>详见附件：分项报价表5.21.pdf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