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版本号：XHDZB2025-01120250529001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王家河道路修缮及照明工程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XHDZB2025-011</w:t>
      </w:r>
      <w:r>
        <w:br/>
      </w:r>
      <w:r>
        <w:br/>
      </w:r>
      <w:r>
        <w:br/>
      </w:r>
    </w:p>
    <w:p>
      <w:pPr>
        <w:pStyle w:val="null3"/>
        <w:jc w:val="center"/>
        <w:outlineLvl w:val="2"/>
      </w:pPr>
      <w:r>
        <w:rPr>
          <w:rFonts w:ascii="仿宋_GB2312" w:hAnsi="仿宋_GB2312" w:cs="仿宋_GB2312" w:eastAsia="仿宋_GB2312"/>
          <w:sz w:val="28"/>
          <w:b/>
        </w:rPr>
        <w:t>铜川市王益区王家河街道办事处</w:t>
      </w:r>
    </w:p>
    <w:p>
      <w:pPr>
        <w:pStyle w:val="null3"/>
        <w:jc w:val="center"/>
        <w:outlineLvl w:val="2"/>
      </w:pPr>
      <w:r>
        <w:rPr>
          <w:rFonts w:ascii="仿宋_GB2312" w:hAnsi="仿宋_GB2312" w:cs="仿宋_GB2312" w:eastAsia="仿宋_GB2312"/>
          <w:sz w:val="28"/>
          <w:b/>
        </w:rPr>
        <w:t>陕西旭和达项目管理有限公司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陕西旭和达项目管理有限公司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铜川市王益区王家河街道办事处</w:t>
      </w:r>
      <w:r>
        <w:rPr>
          <w:rFonts w:ascii="仿宋_GB2312" w:hAnsi="仿宋_GB2312" w:cs="仿宋_GB2312" w:eastAsia="仿宋_GB2312"/>
        </w:rPr>
        <w:t>委托，拟对</w:t>
      </w:r>
      <w:r>
        <w:rPr>
          <w:rFonts w:ascii="仿宋_GB2312" w:hAnsi="仿宋_GB2312" w:cs="仿宋_GB2312" w:eastAsia="仿宋_GB2312"/>
        </w:rPr>
        <w:t>王家河道路修缮及照明工程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XHDZB2025-011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王家河道路修缮及照明工程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包括：拆除旧路灯；拆除巷道破损混凝土路面；拆除巷道旧砖挡墙；新建水泥混凝土巷道；新建巷道片石挡墙；新建挡墙顶部防护砖墙；下河路新建混凝土硬化；新建河堤挡墙。王家河村、常家河村安装太阳能路灯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采购包1（王家河道路修缮及照明工程）：属于专门面向中小企业采购。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1、主体经营资格：具有独立承担民事责任能力的法人、其他组织或自然人，并出具合法有效的营业执照或事业单位法人证书等国家规定的相关证明资料，自然人参与的提供其身份证明。</w:t>
      </w:r>
    </w:p>
    <w:p>
      <w:pPr>
        <w:pStyle w:val="null3"/>
      </w:pPr>
      <w:r>
        <w:rPr>
          <w:rFonts w:ascii="仿宋_GB2312" w:hAnsi="仿宋_GB2312" w:cs="仿宋_GB2312" w:eastAsia="仿宋_GB2312"/>
        </w:rPr>
        <w:t>2、企业资质要求：供应商须具备市政公用工程施工总承包三级（含）及以上资质并具备有效的安全生产许可证。</w:t>
      </w:r>
    </w:p>
    <w:p>
      <w:pPr>
        <w:pStyle w:val="null3"/>
      </w:pPr>
      <w:r>
        <w:rPr>
          <w:rFonts w:ascii="仿宋_GB2312" w:hAnsi="仿宋_GB2312" w:cs="仿宋_GB2312" w:eastAsia="仿宋_GB2312"/>
        </w:rPr>
        <w:t>3、项目负责人要求：拟派项目负责人须具备市政公用工程注册建造师二级（含）及以上资格，并有有效的安全生产考核合格证（建安 B 证），在本单位注册且未担任其他在建工程的项目负责人。</w:t>
      </w:r>
    </w:p>
    <w:p>
      <w:pPr>
        <w:pStyle w:val="null3"/>
      </w:pPr>
      <w:r>
        <w:rPr>
          <w:rFonts w:ascii="仿宋_GB2312" w:hAnsi="仿宋_GB2312" w:cs="仿宋_GB2312" w:eastAsia="仿宋_GB2312"/>
        </w:rPr>
        <w:t>4、财务状况报告：提供具有财务审计资质单位出具的2023年度或2024年度财务报告（成立时间至开标时间不足一年的可提供成立后任意时段的资产负债表）或开标前六个月内其基本账户银行出具的资信证明及基本存款账户开户许可证。</w:t>
      </w:r>
    </w:p>
    <w:p>
      <w:pPr>
        <w:pStyle w:val="null3"/>
      </w:pPr>
      <w:r>
        <w:rPr>
          <w:rFonts w:ascii="仿宋_GB2312" w:hAnsi="仿宋_GB2312" w:cs="仿宋_GB2312" w:eastAsia="仿宋_GB2312"/>
        </w:rPr>
        <w:t>5、授权委托：法定代表人授权书和被授权人的身份证，法定代表人参加磋商时，须提供本人身份证明。</w:t>
      </w:r>
    </w:p>
    <w:p>
      <w:pPr>
        <w:pStyle w:val="null3"/>
      </w:pPr>
      <w:r>
        <w:rPr>
          <w:rFonts w:ascii="仿宋_GB2312" w:hAnsi="仿宋_GB2312" w:cs="仿宋_GB2312" w:eastAsia="仿宋_GB2312"/>
        </w:rPr>
        <w:t>6、技术能力承诺：提供具有履行合同所必需的设备和专业技术能力的承诺。</w:t>
      </w:r>
    </w:p>
    <w:p>
      <w:pPr>
        <w:pStyle w:val="null3"/>
      </w:pPr>
      <w:r>
        <w:rPr>
          <w:rFonts w:ascii="仿宋_GB2312" w:hAnsi="仿宋_GB2312" w:cs="仿宋_GB2312" w:eastAsia="仿宋_GB2312"/>
        </w:rPr>
        <w:t>7、税收证明：提供2024年5月至今已缴纳的任意1个月的纳税证明或完税证明（纳税证明或完税证明上应有代收机构或税务机关的公章或业务章），依法免税的单位应提供相关证明材料。</w:t>
      </w:r>
    </w:p>
    <w:p>
      <w:pPr>
        <w:pStyle w:val="null3"/>
      </w:pPr>
      <w:r>
        <w:rPr>
          <w:rFonts w:ascii="仿宋_GB2312" w:hAnsi="仿宋_GB2312" w:cs="仿宋_GB2312" w:eastAsia="仿宋_GB2312"/>
        </w:rPr>
        <w:t>8、社会保障资金缴纳证明：提供2024年5月至今已缴存的任意1个月的社会保障资金缴存单据或社保机构开具的社会保险参保缴费情况证明，依法不需要缴纳社会保障资金的应提供相关证明材料。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9、书面声明：参加本次政府采购活动前三年内在经营活动中没有重大违纪，以及未被列入失信被执行人、重大税收违法案件当事人名单、政府采购严重违法失信行为记录名单的书面声明。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铜川市王益区王家河街道办事处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王家河北路44号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0919—2896031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陕西旭和达项目管理有限公司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铜川新区幸福里二期小区南门 13 号楼 102 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程晓利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0919-3196061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采购包1：2,305,927.00元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代理服务费收费标准：依据《国家计委关于印发招标代理服务收费管理暂行办法的通知》（计价格[2002]1980号）文件规定计取。）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铜川市王益区王家河街道办事处</w:t>
      </w:r>
      <w:r>
        <w:rPr>
          <w:rFonts w:ascii="仿宋_GB2312" w:hAnsi="仿宋_GB2312" w:cs="仿宋_GB2312" w:eastAsia="仿宋_GB2312"/>
        </w:rPr>
        <w:t>和</w:t>
      </w:r>
      <w:r>
        <w:rPr>
          <w:rFonts w:ascii="仿宋_GB2312" w:hAnsi="仿宋_GB2312" w:cs="仿宋_GB2312" w:eastAsia="仿宋_GB2312"/>
        </w:rPr>
        <w:t>陕西旭和达项目管理有限公司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铜川市王益区王家河街道办事处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陕西旭和达项目管理有限公司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铜川市王益区王家河街道办事处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陕西旭和达项目管理有限公司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按照国家相关验收规范执行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陕西旭和达项目管理有限公司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陕西旭和达项目管理有限公司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陕西旭和达项目管理有限公司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联系人：程晓利</w:t>
      </w:r>
    </w:p>
    <w:p>
      <w:pPr>
        <w:pStyle w:val="null3"/>
      </w:pPr>
      <w:r>
        <w:rPr>
          <w:rFonts w:ascii="仿宋_GB2312" w:hAnsi="仿宋_GB2312" w:cs="仿宋_GB2312" w:eastAsia="仿宋_GB2312"/>
        </w:rPr>
        <w:t>联系电话：0919-3196061</w:t>
      </w:r>
    </w:p>
    <w:p>
      <w:pPr>
        <w:pStyle w:val="null3"/>
      </w:pPr>
      <w:r>
        <w:rPr>
          <w:rFonts w:ascii="仿宋_GB2312" w:hAnsi="仿宋_GB2312" w:cs="仿宋_GB2312" w:eastAsia="仿宋_GB2312"/>
        </w:rPr>
        <w:t>地址：铜川新区幸福里二期小区南门 13 号楼 102 商铺</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2,305,927.00</w:t>
      </w:r>
    </w:p>
    <w:p>
      <w:pPr>
        <w:pStyle w:val="null3"/>
      </w:pPr>
      <w:r>
        <w:rPr>
          <w:rFonts w:ascii="仿宋_GB2312" w:hAnsi="仿宋_GB2312" w:cs="仿宋_GB2312" w:eastAsia="仿宋_GB2312"/>
        </w:rPr>
        <w:t>采购包最高限价（元）: 2,305,927.00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2305927</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2,305,927.00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标的名称：2305927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满足王家河道路修缮及照明工程的实际需求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达到国家质量验收合格标准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工期30日历天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强制优先采购产品承诺函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具有独立承担民事责任能力的法人、其他组织或自然人，并出具合法有效的营业执照或事业单位法人证书等国家规定的相关证明资料，自然人参与的提供其身份证明。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供应商须具备市政公用工程施工总承包三级（含）及以上资质并具备有效的安全生产许可证。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拟派项目负责人须具备市政公用工程注册建造师二级（含）及以上资格，并有有效的安全生产考核合格证（建安 B 证），在本单位注册且未担任其他在建工程的项目负责人。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法定代表人授权书和被授权人的身份证，法定代表人参加磋商时，须提供本人身份证明。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提供2024年5月至今已缴纳的任意1个月的纳税证明或完税证明（纳税证明或完税证明上应有代收机构或税务机关的公章或业务章），依法免税的单位应提供相关证明材料。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提供2024年5月至今已缴存的任意1个月的社会保障资金缴存单据或社保机构开具的社会保险参保缴费情况证明，依法不需要缴纳社会保障资金的应提供相关证明材料。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或由法定代表人或授权人签名（或盖章），其余页面逐页盖公章，否则将作为无效响应文件处理。磋商文件凡是要求法定代表人签名或盖章之处，非法人单位的负责人参照执行。</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施工组织设计.docx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磋商小组根据供应商在磋商响应文件中提供的施工方案及技术措施综合比较进行赋分。方案完整、可行性强得10.1-15分；基本可行得 5.1-10分；方案不完整、可行性差得0.1-5 分。缺项0分。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工期承诺及保障措施</w:t>
            </w:r>
          </w:p>
        </w:tc>
        <w:tc>
          <w:tcPr>
            <w:tcW w:type="dxa" w:w="2492"/>
          </w:tcPr>
          <w:p>
            <w:pPr>
              <w:pStyle w:val="null3"/>
            </w:pPr>
            <w:r>
              <w:rPr>
                <w:rFonts w:ascii="仿宋_GB2312" w:hAnsi="仿宋_GB2312" w:cs="仿宋_GB2312" w:eastAsia="仿宋_GB2312"/>
              </w:rPr>
              <w:t>磋商小组根据供应商在磋商响应文件中提供的工期承诺及保障措施综合比较进行赋分。工期承诺优于磋商文件要求，保障措施全面、完善 、可行的得 5.1-7分；工期承诺满足磋商文件要求，保障措施较全面 、较完善、一般可行的得3.1-5分；工期承诺满足磋商文件要求，保障措施不全面、不完善、可行性差的得0.1- 3分；缺项0分。 注：工期不满足磋商文件要求的，按无效标处理。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安全施工保障措施</w:t>
            </w:r>
          </w:p>
        </w:tc>
        <w:tc>
          <w:tcPr>
            <w:tcW w:type="dxa" w:w="2492"/>
          </w:tcPr>
          <w:p>
            <w:pPr>
              <w:pStyle w:val="null3"/>
            </w:pPr>
            <w:r>
              <w:rPr>
                <w:rFonts w:ascii="仿宋_GB2312" w:hAnsi="仿宋_GB2312" w:cs="仿宋_GB2312" w:eastAsia="仿宋_GB2312"/>
              </w:rPr>
              <w:t>磋商小组根据供应商在磋商响应文件中提供的安全施工保障措施综合比较进行赋分。保障措施全面、完善、可行的得7.1-10分；保障措施较全面、较完善、一般可行的得4.1-7分；保障措施不全面、不完善、可行性差的得0.1-4 分。缺项0分。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磋商小组根据供应商在磋商响应文件中提供的质量保障措施综合比较进行赋分。保障措施全面、完善、可行的得7.1-10分；保障措施较全面、较完善、一般可行的得4.1-7分；保障措施不全面、不完善、可行性差的得0.1-4 分。缺项0分。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突发情况的应急处理</w:t>
            </w:r>
          </w:p>
        </w:tc>
        <w:tc>
          <w:tcPr>
            <w:tcW w:type="dxa" w:w="2492"/>
          </w:tcPr>
          <w:p>
            <w:pPr>
              <w:pStyle w:val="null3"/>
            </w:pPr>
            <w:r>
              <w:rPr>
                <w:rFonts w:ascii="仿宋_GB2312" w:hAnsi="仿宋_GB2312" w:cs="仿宋_GB2312" w:eastAsia="仿宋_GB2312"/>
              </w:rPr>
              <w:t>磋商小组根据供应商在施工期间的紧急突然状况提供应急处理方案。应急处理方案合理可行的计7.1-10分 ；应急处理方案较合理基本可行的计4.1-7分；应急处理方案不合理，可行性不强的0.1-4分。缺项0分。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项目组织管理及人员安排</w:t>
            </w:r>
          </w:p>
        </w:tc>
        <w:tc>
          <w:tcPr>
            <w:tcW w:type="dxa" w:w="2492"/>
          </w:tcPr>
          <w:p>
            <w:pPr>
              <w:pStyle w:val="null3"/>
            </w:pPr>
            <w:r>
              <w:rPr>
                <w:rFonts w:ascii="仿宋_GB2312" w:hAnsi="仿宋_GB2312" w:cs="仿宋_GB2312" w:eastAsia="仿宋_GB2312"/>
              </w:rPr>
              <w:t>1、拟派项目经理须具备市政公用工程二级（含二级）以上注册建造师资格且在本单位注册；具有类似工程业绩1项得1分，最高2分（2022年1月1日至今完成过类似项目业绩，以中标通知书、合同为准），未提供不得分； 2、拟投入本项目的组织管理机构设置及人员配备合理、工种齐全（包括技术负责人、施工员 、质量员、安全员、材料员等）职责划分明确，确保各项工作有序开展。以上人员每提供一个得1分，最高分5分。须同时提供上述人员对应的执业资格证书或岗位证。</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供应商针对本项目提供有利于本项目开展的其它承诺，每提供一项承诺，得1分，满分3分，无承诺不得分。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提供的自2022年1月1日至今完成过类似项目业绩，以中标通知书、合同为准，缺一项不得分，一项业绩得1分，满分8分。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印发《政府采购竞争性磋商采购方式管理暂行办法》的通知财库(2014)214号的有关规定:综合评分法中的价格分统一采用低价优先法计算，价格即满足磋商文件要求且磋商价格最低的磋商报价为评审基准价，其价格分为满分。其他供应商的价格分统一按照下列公式计算:磋商报价得分=(评审基准价/磋商报价)x价格权值X100(因落实政府采购政策进行价格调整的，以调整后的价格计算评标基准价和投标报价，注:本项目专门面向中小企业，在价格评审时不享受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