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版本号：SXBH-ZFCG-2025-05920250624001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王益区2025年政府购买残疾人托养照护服务项目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SXBH-ZFCG-2025-059</w:t>
      </w:r>
      <w:r>
        <w:br/>
      </w:r>
      <w:r>
        <w:br/>
      </w:r>
      <w:r>
        <w:br/>
      </w:r>
    </w:p>
    <w:p>
      <w:pPr>
        <w:pStyle w:val="null3"/>
        <w:jc w:val="center"/>
        <w:outlineLvl w:val="2"/>
      </w:pPr>
      <w:r>
        <w:rPr>
          <w:rFonts w:ascii="仿宋_GB2312" w:hAnsi="仿宋_GB2312" w:cs="仿宋_GB2312" w:eastAsia="仿宋_GB2312"/>
          <w:sz w:val="28"/>
          <w:b/>
        </w:rPr>
        <w:t>铜川市王益区残疾人联合会</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铜川市王益区残疾人联合会</w:t>
      </w:r>
      <w:r>
        <w:rPr>
          <w:rFonts w:ascii="仿宋_GB2312" w:hAnsi="仿宋_GB2312" w:cs="仿宋_GB2312" w:eastAsia="仿宋_GB2312"/>
        </w:rPr>
        <w:t>委托，拟对</w:t>
      </w:r>
      <w:r>
        <w:rPr>
          <w:rFonts w:ascii="仿宋_GB2312" w:hAnsi="仿宋_GB2312" w:cs="仿宋_GB2312" w:eastAsia="仿宋_GB2312"/>
        </w:rPr>
        <w:t>王益区2025年政府购买残疾人托养照护服务项目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SXBH-ZFCG-2025-059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王益区2025年政府购买残疾人托养照护服务项目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采购内容为基本生活照料和护理、生活自理能力训练、社会适应能力辅导、职业康复和劳动技能训练、运动功能训练等方面的社会服务。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采购包1（王益区2025年政府购买残疾人托养照护服务项目）：属于专门面向中小企业采购。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w:t>
      </w:r>
    </w:p>
    <w:p>
      <w:pPr>
        <w:pStyle w:val="null3"/>
      </w:pPr>
      <w:r>
        <w:rPr>
          <w:rFonts w:ascii="仿宋_GB2312" w:hAnsi="仿宋_GB2312" w:cs="仿宋_GB2312" w:eastAsia="仿宋_GB2312"/>
        </w:rPr>
        <w:t>2、具有健全的财务会计制度的证明材料：提供近两年任意一年经会计师事务所或审计机构审计的财务审计报告（包括资产负债表、现金流量表、利润表、所有者权益变动表、附注、审计机构资质证书等全部内容，成立时间至提交响应文件截止时间不足一年的可提供成立后任意时段的资产负债表）和财务情况说明书；或招标前六个月内其基本存款账户开户银行出具的资信证明及基本存款账户信息；</w:t>
      </w:r>
    </w:p>
    <w:p>
      <w:pPr>
        <w:pStyle w:val="null3"/>
      </w:pPr>
      <w:r>
        <w:rPr>
          <w:rFonts w:ascii="仿宋_GB2312" w:hAnsi="仿宋_GB2312" w:cs="仿宋_GB2312" w:eastAsia="仿宋_GB2312"/>
        </w:rPr>
        <w:t>3、具有良好的商业信誉：投标人不得为“信用中国(http://www.creditchina.gov.cn)”信息公示中列入重大税收违法失信主体名单、严重失信主体名单及专项查询中政府采购严重违法失信行为记录名单查询的供应商；不得在“中国执行信息公开网（https://zxgk.court.gov.cn/）”被列为失信被执行人；不得在“国家企业信用信息公示系统”（http://www.gsxt.gov.cn/index.html）行政处罚信息、经营异常名录信息及严重违法失信名单；不得为“中国政府采购网(http://www.ccgp.gov.cn)”政府采购严重违法失信行为记录名单中被财政部门禁止参加政府采购活动的供应商；（“中国执行信息公开网”应同时提供法定代表人查询截图且不得被列入以上名单，以上提供网页查询打印预览截图，查询时间为投标人领取招标文件之日至递交投标文件截止之日期间有效，截图页面背景须体现查询日期。）；</w:t>
      </w:r>
    </w:p>
    <w:p>
      <w:pPr>
        <w:pStyle w:val="null3"/>
      </w:pPr>
      <w:r>
        <w:rPr>
          <w:rFonts w:ascii="仿宋_GB2312" w:hAnsi="仿宋_GB2312" w:cs="仿宋_GB2312" w:eastAsia="仿宋_GB2312"/>
        </w:rPr>
        <w:t>4、具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5、有依法缴纳社会保障资金的良好记录：提供投标截止日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6、具有履行合同所必需的设备和专业技术能力；：提供具有履行合同所必需的设备和专业技术能力的书面声明；</w:t>
      </w:r>
    </w:p>
    <w:p>
      <w:pPr>
        <w:pStyle w:val="null3"/>
      </w:pPr>
      <w:r>
        <w:rPr>
          <w:rFonts w:ascii="仿宋_GB2312" w:hAnsi="仿宋_GB2312" w:cs="仿宋_GB2312" w:eastAsia="仿宋_GB2312"/>
        </w:rPr>
        <w:t>7、参加政府采购活动前三年内，在经营活动中没有重大违法记录或被起诉：参加政府采购活动前三年内，在经营活动中没有重大违法记录或被起诉的书面声明；</w:t>
      </w:r>
    </w:p>
    <w:p>
      <w:pPr>
        <w:pStyle w:val="null3"/>
      </w:pPr>
      <w:r>
        <w:rPr>
          <w:rFonts w:ascii="仿宋_GB2312" w:hAnsi="仿宋_GB2312" w:cs="仿宋_GB2312" w:eastAsia="仿宋_GB2312"/>
        </w:rPr>
        <w:t>8、法定代表人证明书或法定代表人授权书：法定代表人（负责人）直接参加投标的，须出具法定代表人（负责人）身份证明及身份证复印件，并与营业执照上信息一致；法定代表人授权代表参加投标的，须出具法定代表人授权书及授权代表身份证复印件；</w:t>
      </w:r>
    </w:p>
    <w:p>
      <w:pPr>
        <w:pStyle w:val="null3"/>
      </w:pPr>
      <w:r>
        <w:rPr>
          <w:rFonts w:ascii="仿宋_GB2312" w:hAnsi="仿宋_GB2312" w:cs="仿宋_GB2312" w:eastAsia="仿宋_GB2312"/>
        </w:rPr>
        <w:t>9、本项目不接受联合体投标：非联合体投标承诺书；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铜川市王益区残疾人联合会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铜川市王益区红旗街9号王益区政府残疾人联合会</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铜川市王益区残疾人联合会经办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0919-2188862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刘瑞华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17691172318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成交供应商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铜川市王益区残疾人联合会</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铜川市王益区残疾人联合会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铜川市王益区残疾人联合会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联系人：刘瑞华</w:t>
      </w:r>
    </w:p>
    <w:p>
      <w:pPr>
        <w:pStyle w:val="null3"/>
      </w:pPr>
      <w:r>
        <w:rPr>
          <w:rFonts w:ascii="仿宋_GB2312" w:hAnsi="仿宋_GB2312" w:cs="仿宋_GB2312" w:eastAsia="仿宋_GB2312"/>
        </w:rPr>
        <w:t>联系电话：17691172318</w:t>
      </w:r>
    </w:p>
    <w:p>
      <w:pPr>
        <w:pStyle w:val="null3"/>
      </w:pPr>
      <w:r>
        <w:rPr>
          <w:rFonts w:ascii="仿宋_GB2312" w:hAnsi="仿宋_GB2312" w:cs="仿宋_GB2312" w:eastAsia="仿宋_GB2312"/>
        </w:rPr>
        <w:t>地址：铜川市印台区惠民佳苑8号楼2楼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采购内容为基本生活照料和护理、生活自理能力训练、社会适应能力辅导、职业康复和劳动技能训练、运动功能训练等方面的社会服务。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455,000.00</w:t>
      </w:r>
    </w:p>
    <w:p>
      <w:pPr>
        <w:pStyle w:val="null3"/>
      </w:pPr>
      <w:r>
        <w:rPr>
          <w:rFonts w:ascii="仿宋_GB2312" w:hAnsi="仿宋_GB2312" w:cs="仿宋_GB2312" w:eastAsia="仿宋_GB2312"/>
        </w:rPr>
        <w:t>采购包最高限价（元）: 455,000.00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残疾人托养照护</w:t>
            </w:r>
          </w:p>
        </w:tc>
        <w:tc>
          <w:tcPr>
            <w:tcW w:type="dxa" w:w="831"/>
          </w:tcPr>
          <w:p>
            <w:pPr>
              <w:pStyle w:val="null3"/>
              <w:jc w:val="right"/>
            </w:pPr>
            <w:r>
              <w:rPr>
                <w:rFonts w:ascii="仿宋_GB2312" w:hAnsi="仿宋_GB2312" w:cs="仿宋_GB2312" w:eastAsia="仿宋_GB2312"/>
              </w:rPr>
              <w:t>105.00</w:t>
            </w:r>
          </w:p>
        </w:tc>
        <w:tc>
          <w:tcPr>
            <w:tcW w:type="dxa" w:w="831"/>
          </w:tcPr>
          <w:p>
            <w:pPr>
              <w:pStyle w:val="null3"/>
              <w:jc w:val="right"/>
            </w:pPr>
            <w:r>
              <w:rPr>
                <w:rFonts w:ascii="仿宋_GB2312" w:hAnsi="仿宋_GB2312" w:cs="仿宋_GB2312" w:eastAsia="仿宋_GB2312"/>
              </w:rPr>
              <w:t>455,000.00</w:t>
            </w:r>
          </w:p>
        </w:tc>
        <w:tc>
          <w:tcPr>
            <w:tcW w:type="dxa" w:w="831"/>
          </w:tcPr>
          <w:p>
            <w:pPr>
              <w:pStyle w:val="null3"/>
            </w:pPr>
            <w:r>
              <w:rPr>
                <w:rFonts w:ascii="仿宋_GB2312" w:hAnsi="仿宋_GB2312" w:cs="仿宋_GB2312" w:eastAsia="仿宋_GB2312"/>
              </w:rPr>
              <w:t>人次</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标的名称：残疾人托养照护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0"/>
              </w:rPr>
              <w:t>服务内容</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服务内容</w:t>
                  </w:r>
                </w:p>
              </w:tc>
              <w:tc>
                <w:tcPr>
                  <w:tcW w:type="dxa" w:w="511"/>
                </w:tcPr>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sz w:val="21"/>
                      <w:color w:val="222222"/>
                    </w:rPr>
                    <w:t>居家托养</w:t>
                  </w:r>
                </w:p>
              </w:tc>
              <w:tc>
                <w:tcPr>
                  <w:tcW w:type="dxa" w:w="511"/>
                </w:tcPr>
                <w:p>
                  <w:pPr>
                    <w:pStyle w:val="null3"/>
                  </w:pPr>
                  <w:r>
                    <w:rPr>
                      <w:rFonts w:ascii="仿宋_GB2312" w:hAnsi="仿宋_GB2312" w:cs="仿宋_GB2312" w:eastAsia="仿宋_GB2312"/>
                    </w:rPr>
                    <w:t>人</w:t>
                  </w:r>
                </w:p>
              </w:tc>
              <w:tc>
                <w:tcPr>
                  <w:tcW w:type="dxa" w:w="511"/>
                </w:tcPr>
                <w:p>
                  <w:pPr>
                    <w:pStyle w:val="null3"/>
                  </w:pPr>
                  <w:r>
                    <w:rPr>
                      <w:rFonts w:ascii="仿宋_GB2312" w:hAnsi="仿宋_GB2312" w:cs="仿宋_GB2312" w:eastAsia="仿宋_GB2312"/>
                    </w:rPr>
                    <w:t>50</w:t>
                  </w:r>
                </w:p>
              </w:tc>
              <w:tc>
                <w:tcPr>
                  <w:tcW w:type="dxa" w:w="511"/>
                  <w:vMerge w:val="restart"/>
                </w:tcPr>
                <w:p>
                  <w:pPr>
                    <w:pStyle w:val="null3"/>
                  </w:pPr>
                  <w:r>
                    <w:rPr>
                      <w:rFonts w:ascii="仿宋_GB2312" w:hAnsi="仿宋_GB2312" w:cs="仿宋_GB2312" w:eastAsia="仿宋_GB2312"/>
                      <w:sz w:val="21"/>
                      <w:color w:val="222222"/>
                    </w:rPr>
                    <w:t>满足残疾人对为托养照护服务的需求，残疾人托养服务水平和能力得到显著提高，残疾人社会适应能力得到提高，融入社会生活程度得到显著改善。服务机构必须具备本机构提供服务的目录。可根据当地实际情况在本目录的基础上进行增加和细化，但不得删减。</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sz w:val="21"/>
                      <w:color w:val="222222"/>
                    </w:rPr>
                    <w:t>寄宿托养</w:t>
                  </w:r>
                </w:p>
              </w:tc>
              <w:tc>
                <w:tcPr>
                  <w:tcW w:type="dxa" w:w="511"/>
                </w:tcPr>
                <w:p>
                  <w:pPr>
                    <w:pStyle w:val="null3"/>
                  </w:pPr>
                  <w:r>
                    <w:rPr>
                      <w:rFonts w:ascii="仿宋_GB2312" w:hAnsi="仿宋_GB2312" w:cs="仿宋_GB2312" w:eastAsia="仿宋_GB2312"/>
                    </w:rPr>
                    <w:t>人</w:t>
                  </w:r>
                </w:p>
              </w:tc>
              <w:tc>
                <w:tcPr>
                  <w:tcW w:type="dxa" w:w="511"/>
                </w:tcPr>
                <w:p>
                  <w:pPr>
                    <w:pStyle w:val="null3"/>
                  </w:pPr>
                  <w:r>
                    <w:rPr>
                      <w:rFonts w:ascii="仿宋_GB2312" w:hAnsi="仿宋_GB2312" w:cs="仿宋_GB2312" w:eastAsia="仿宋_GB2312"/>
                    </w:rPr>
                    <w:t>55</w:t>
                  </w:r>
                </w:p>
              </w:tc>
              <w:tc>
                <w:tcPr>
                  <w:tcW w:type="dxa" w:w="511"/>
                  <w:vMerge/>
                </w:tcPr>
                <w:p/>
              </w:tc>
            </w:tr>
          </w:tbl>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人员配置达到完全满足本项目相关需求。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设施设备达到完全满足本项目相关需求。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本项目为一招三年项目，后续两年由采购人及成交单位自行签订合同及协商付款等事宜。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两年任意一年经会计师事务所或审计机构审计的财务审计报告（包括资产负债表、现金流量表、利润表、所有者权益变动表、附注、审计机构资质证书等全部内容，成立时间至提交响应文件截止时间不足一年的可提供成立后任意时段的资产负债表）和财务情况说明书；或招标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具有健全的财务会计制度的证明材料</w:t>
            </w:r>
          </w:p>
        </w:tc>
        <w:tc>
          <w:tcPr>
            <w:tcW w:type="dxa" w:w="3322"/>
          </w:tcPr>
          <w:p>
            <w:pPr>
              <w:pStyle w:val="null3"/>
            </w:pPr>
            <w:r>
              <w:rPr>
                <w:rFonts w:ascii="仿宋_GB2312" w:hAnsi="仿宋_GB2312" w:cs="仿宋_GB2312" w:eastAsia="仿宋_GB2312"/>
              </w:rPr>
              <w:t>提供近两年任意一年经会计师事务所或审计机构审计的财务审计报告（包括资产负债表、现金流量表、利润表、所有者权益变动表、附注、审计机构资质证书等全部内容，成立时间至提交响应文件截止时间不足一年的可提供成立后任意时段的资产负债表）和财务情况说明书；或招标前六个月内其基本存款账户开户银行出具的资信证明及基本存款账户信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投标人不得为“信用中国(http://www.creditchina.gov.cn)”信息公示中列入重大税收违法失信主体名单、严重失信主体名单及专项查询中政府采购严重违法失信行为记录名单查询的供应商；不得在“中国执行信息公开网（https://zxgk.court.gov.cn/）”被列为失信被执行人；不得在“国家企业信用信息公示系统”（http://www.gsxt.gov.cn/index.html）行政处罚信息、经营异常名录信息及严重违法失信名单；不得为“中国政府采购网(http://www.ccgp.gov.cn)”政府采购严重违法失信行为记录名单中被财政部门禁止参加政府采购活动的供应商；（“中国执行信息公开网”应同时提供法定代表人查询截图且不得被列入以上名单，以上提供网页查询打印预览截图，查询时间为投标人领取招标文件之日至递交投标文件截止之日期间有效，截图页面背景须体现查询日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参加政府采购活动前三年内，在经营活动中没有重大违法记录或被起诉</w:t>
            </w:r>
          </w:p>
        </w:tc>
        <w:tc>
          <w:tcPr>
            <w:tcW w:type="dxa" w:w="3322"/>
          </w:tcPr>
          <w:p>
            <w:pPr>
              <w:pStyle w:val="null3"/>
            </w:pPr>
            <w:r>
              <w:rPr>
                <w:rFonts w:ascii="仿宋_GB2312" w:hAnsi="仿宋_GB2312" w:cs="仿宋_GB2312" w:eastAsia="仿宋_GB2312"/>
              </w:rPr>
              <w:t>参加政府采购活动前三年内，在经营活动中没有重大违法记录或被起诉的书面声明；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法定代表人（负责人）直接参加投标的，须出具法定代表人（负责人）身份证明及身份证复印件，并与营业执照上信息一致；法定代表人授权代表参加投标的，须出具法定代表人授权书及授权代表身份证复印件；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投标文件中指定的页面落款处加盖公章或由法定代表人或被授权人签名（或盖章），其余页面逐页盖公章，否则将作为无效投标文件处理。招标文件凡是要求法定代表人签名或盖章之处 ，非法人单位的负责人均参照执行。</w:t>
            </w:r>
          </w:p>
        </w:tc>
        <w:tc>
          <w:tcPr>
            <w:tcW w:type="dxa" w:w="1661"/>
          </w:tcPr>
          <w:p>
            <w:pPr>
              <w:pStyle w:val="null3"/>
            </w:pPr>
            <w:r>
              <w:rPr>
                <w:rFonts w:ascii="仿宋_GB2312" w:hAnsi="仿宋_GB2312" w:cs="仿宋_GB2312" w:eastAsia="仿宋_GB2312"/>
              </w:rPr>
              <w:t>开标一览表 法人证明书.docx 服务内容及服务邀请应答表 供应商类似项目业绩一览表.docx 中小企业声明函 商务应答表 投标人应提交的相关资格证明材料 法人授权书.docx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法人证明书.docx 服务内容及服务邀请应答表 供应商类似项目业绩一览表.docx 中小企业声明函 商务应答表 投标人应提交的相关资格证明材料 法人授权书.docx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合同签订之日起一年</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I、实质性内容不满足、未完全未响应招标要求或擅自改动技术要求的； G、投标文件的关键内容或字迹模糊、无法辨认的； K、不符合法律、法规规定的其它实质性要求的。</w:t>
            </w:r>
          </w:p>
        </w:tc>
        <w:tc>
          <w:tcPr>
            <w:tcW w:type="dxa" w:w="1661"/>
          </w:tcPr>
          <w:p>
            <w:pPr>
              <w:pStyle w:val="null3"/>
            </w:pPr>
            <w:r>
              <w:rPr>
                <w:rFonts w:ascii="仿宋_GB2312" w:hAnsi="仿宋_GB2312" w:cs="仿宋_GB2312" w:eastAsia="仿宋_GB2312"/>
              </w:rPr>
              <w:t>开标一览表 法人证明书.docx 服务内容及服务邀请应答表 供应商类似项目业绩一览表.docx 中小企业声明函 商务应答表 投标人应提交的相关资格证明材料 法人授权书.docx 投标函 残疾人福利性单位声明函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经过有效性和符合性审核合格的投标人，其商务条款响应符合招标文件最低要求的计8分。优于招标文件要求的每项另加2分，最多加2分。不完全响应最低要求的计0分。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项目经验</w:t>
            </w:r>
          </w:p>
        </w:tc>
        <w:tc>
          <w:tcPr>
            <w:tcW w:type="dxa" w:w="2492"/>
          </w:tcPr>
          <w:p>
            <w:pPr>
              <w:pStyle w:val="null3"/>
            </w:pPr>
            <w:r>
              <w:rPr>
                <w:rFonts w:ascii="仿宋_GB2312" w:hAnsi="仿宋_GB2312" w:cs="仿宋_GB2312" w:eastAsia="仿宋_GB2312"/>
              </w:rPr>
              <w:t>投标人提供自2021年1月1日起至今的已完工同类项目业绩证明材料，每提供1项同类业绩得2分，最多得10分。评审依据：附合同及中标通知书的复印件或扫描件并加盖供应商公章，时间以合同签订时间中体现的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（1）提供针对本项目的服务流程，计0.1-4分，不提供不计分； （2）提供针对本项目的完整的服务标准及效果评估，计0.1-4分，不提供不计分； （3）提供针对本项目的服务流程设计细致具体可行，每个环节的操作步骤、时间节点、责任人员、操作规范明确，具有很强的实操性，且针对复杂环节有详细的示例，计0.1-4分，不提供不计分； （4）提供针对本项目的拟投入人力、财力，计0.1-4分，不提供不计分； （5）提供针对本项目的服务计划、方式、内容及总结，计0.1-4分，不提供不计分；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服务网点</w:t>
            </w:r>
          </w:p>
        </w:tc>
        <w:tc>
          <w:tcPr>
            <w:tcW w:type="dxa" w:w="2492"/>
          </w:tcPr>
          <w:p>
            <w:pPr>
              <w:pStyle w:val="null3"/>
            </w:pPr>
            <w:r>
              <w:rPr>
                <w:rFonts w:ascii="仿宋_GB2312" w:hAnsi="仿宋_GB2312" w:cs="仿宋_GB2312" w:eastAsia="仿宋_GB2312"/>
              </w:rPr>
              <w:t>提供在陕西省境内的跟踪服务中心的名称、地址、电话、联系人、跟踪服务人员名单；以上完全提供计2分，不完全提供或不提供不计分。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评估报告</w:t>
            </w:r>
          </w:p>
        </w:tc>
        <w:tc>
          <w:tcPr>
            <w:tcW w:type="dxa" w:w="2492"/>
          </w:tcPr>
          <w:p>
            <w:pPr>
              <w:pStyle w:val="null3"/>
            </w:pPr>
            <w:r>
              <w:rPr>
                <w:rFonts w:ascii="仿宋_GB2312" w:hAnsi="仿宋_GB2312" w:cs="仿宋_GB2312" w:eastAsia="仿宋_GB2312"/>
              </w:rPr>
              <w:t>提供经第三方评估机构出具的残疾人托养机构评估报告，提供计2分，不提供不计分。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（1）提供针对本项目的项目进度计划，计0.1-2分，不提供不计分； （2）提供针对本项目的项目进度安排，计0.1-2分，不提供不计分；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人员配置及服务承诺</w:t>
            </w:r>
          </w:p>
        </w:tc>
        <w:tc>
          <w:tcPr>
            <w:tcW w:type="dxa" w:w="2492"/>
          </w:tcPr>
          <w:p>
            <w:pPr>
              <w:pStyle w:val="null3"/>
            </w:pPr>
            <w:r>
              <w:rPr>
                <w:rFonts w:ascii="仿宋_GB2312" w:hAnsi="仿宋_GB2312" w:cs="仿宋_GB2312" w:eastAsia="仿宋_GB2312"/>
              </w:rPr>
              <w:t>（1）提供针对本项目拟投入的专业服务团队，提供人员配置汇总表及相关证件材料：计0.1-4分，不提供不计分； （2）提供针对本项目的人员上岗培训计划，计0.1-4分，不提供不计分； （3）提供针对本项目的服务保障措施，计0.1-4分，不提供不计分； （4）提供针对本项目的服务承诺，计0.1-4分，不提供不计分；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服务质量保证及应急预案措施</w:t>
            </w:r>
          </w:p>
        </w:tc>
        <w:tc>
          <w:tcPr>
            <w:tcW w:type="dxa" w:w="2492"/>
          </w:tcPr>
          <w:p>
            <w:pPr>
              <w:pStyle w:val="null3"/>
            </w:pPr>
            <w:r>
              <w:rPr>
                <w:rFonts w:ascii="仿宋_GB2312" w:hAnsi="仿宋_GB2312" w:cs="仿宋_GB2312" w:eastAsia="仿宋_GB2312"/>
              </w:rPr>
              <w:t>（1）提供针对本项目的服务质量管理，计0.1-4分，不提供不计分； （2）提供针对本项目的服务质量保障措施，计0.1-4分，不提供不计分； （3）提供针对本项目的服务质量保证承诺，计0.1-4分，不提供不计分； （4）提供针对本项目的突发状况的应急预案措施，计0.1-4分，不提供不计分；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价格分=(评标基准价／投标评审价)×100×价格权值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详见附件：法人授权书.docx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